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65A" w14:textId="248BC0A9" w:rsidR="00B42A85" w:rsidRDefault="00952332" w:rsidP="00952332">
      <w:pPr>
        <w:pStyle w:val="Titre1"/>
        <w:jc w:val="center"/>
        <w:rPr>
          <w:rFonts w:ascii="Segoe UI" w:hAnsi="Segoe UI" w:cs="Segoe UI"/>
          <w:b/>
          <w:bCs/>
          <w:color w:val="FF0000"/>
        </w:rPr>
      </w:pPr>
      <w:r w:rsidRPr="00952332">
        <w:rPr>
          <w:rFonts w:ascii="Segoe UI" w:hAnsi="Segoe UI" w:cs="Segoe UI"/>
          <w:b/>
          <w:bCs/>
          <w:color w:val="FF0000"/>
        </w:rPr>
        <w:t>Les antipsychotiques atypiques et les dysfonctions sexuelles : une étude de pharmacovigilance-pharmacodynamie</w:t>
      </w:r>
      <w:r>
        <w:rPr>
          <w:b/>
          <w:bCs/>
          <w:noProof/>
          <w:color w:val="FF0000"/>
          <w:lang w:val="en-GB" w:eastAsia="en-GB"/>
        </w:rPr>
        <w:drawing>
          <wp:inline distT="0" distB="0" distL="0" distR="0" wp14:anchorId="3CB2A7AD" wp14:editId="46CAC261">
            <wp:extent cx="6115817" cy="3425656"/>
            <wp:effectExtent l="0" t="0" r="0" b="3810"/>
            <wp:docPr id="344876795" name="Image 1" descr="Une image contenant texte, Police, capture d’écran,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76795" name="Image 1" descr="Une image contenant texte, Police, capture d’écran, blanc&#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6158488" cy="3449557"/>
                    </a:xfrm>
                    <a:prstGeom prst="rect">
                      <a:avLst/>
                    </a:prstGeom>
                  </pic:spPr>
                </pic:pic>
              </a:graphicData>
            </a:graphic>
          </wp:inline>
        </w:drawing>
      </w:r>
      <w:r>
        <w:rPr>
          <w:rFonts w:ascii="Segoe UI" w:hAnsi="Segoe UI" w:cs="Segoe UI"/>
          <w:b/>
          <w:bCs/>
          <w:color w:val="FF0000"/>
        </w:rPr>
        <w:t xml:space="preserve"> </w:t>
      </w:r>
    </w:p>
    <w:p w14:paraId="3DD1AE5D" w14:textId="77777777" w:rsidR="00952332" w:rsidRDefault="00952332" w:rsidP="00952332"/>
    <w:p w14:paraId="044F11F8" w14:textId="4FD2E12D" w:rsidR="00952332" w:rsidRPr="00C842C9" w:rsidRDefault="00952332" w:rsidP="00952332">
      <w:pPr>
        <w:pStyle w:val="Titre2"/>
        <w:rPr>
          <w:b/>
          <w:bCs/>
          <w:i/>
          <w:iCs/>
          <w:color w:val="auto"/>
        </w:rPr>
      </w:pPr>
      <w:r w:rsidRPr="00C842C9">
        <w:rPr>
          <w:b/>
          <w:bCs/>
          <w:i/>
          <w:iCs/>
          <w:color w:val="auto"/>
        </w:rPr>
        <w:t>Introduction :</w:t>
      </w:r>
    </w:p>
    <w:p w14:paraId="3937EC14" w14:textId="3EB07AFB" w:rsidR="00450CF7" w:rsidRPr="00C842C9" w:rsidRDefault="00450CF7" w:rsidP="00450CF7">
      <w:r w:rsidRPr="00C842C9">
        <w:t>Les antipsychotiques atypiques (</w:t>
      </w:r>
      <w:proofErr w:type="spellStart"/>
      <w:r w:rsidRPr="00C842C9">
        <w:t>AAPs</w:t>
      </w:r>
      <w:proofErr w:type="spellEnd"/>
      <w:r w:rsidRPr="00C842C9">
        <w:t>) sont largement prescrits pour traiter la schizophrénie et d'autres troubles psychotiques, mais leur utilisation croissante soulève des inquiétudes concernant leurs effets indésirables, notamment les dysfonctions sexuelles (DS). Ces DS, peuvent altérer la qualité de vie et compromettre l'observance thérapeutique. Pourtant, elles restent souvent sous-diagnostiquées en raison de la réticence des patients et du manque d'évaluation systématique par les cliniciens.</w:t>
      </w:r>
    </w:p>
    <w:p w14:paraId="158BAEB5" w14:textId="1B1A1ABB" w:rsidR="00450CF7" w:rsidRPr="00C842C9" w:rsidRDefault="00450CF7" w:rsidP="00450CF7">
      <w:r w:rsidRPr="00C842C9">
        <w:t xml:space="preserve">Les études montrent une grande variabilité dans la prévalence des DS selon les molécules : la </w:t>
      </w:r>
      <w:proofErr w:type="spellStart"/>
      <w:r w:rsidRPr="00C842C9">
        <w:t>quétiapine</w:t>
      </w:r>
      <w:proofErr w:type="spellEnd"/>
      <w:r w:rsidRPr="00C842C9">
        <w:t xml:space="preserve">, la </w:t>
      </w:r>
      <w:proofErr w:type="spellStart"/>
      <w:r w:rsidRPr="00C842C9">
        <w:t>ziprasidone</w:t>
      </w:r>
      <w:proofErr w:type="spellEnd"/>
      <w:r w:rsidRPr="00C842C9">
        <w:t xml:space="preserve"> et l'</w:t>
      </w:r>
      <w:proofErr w:type="spellStart"/>
      <w:r w:rsidRPr="00C842C9">
        <w:t>aripiprazole</w:t>
      </w:r>
      <w:proofErr w:type="spellEnd"/>
      <w:r w:rsidRPr="00C842C9">
        <w:t xml:space="preserve"> sont associées à des taux plus faibles (16 %–27 %), tandis que l'</w:t>
      </w:r>
      <w:proofErr w:type="spellStart"/>
      <w:r w:rsidRPr="00C842C9">
        <w:t>olanzapine</w:t>
      </w:r>
      <w:proofErr w:type="spellEnd"/>
      <w:r w:rsidRPr="00C842C9">
        <w:t xml:space="preserve">, la </w:t>
      </w:r>
      <w:proofErr w:type="spellStart"/>
      <w:r w:rsidRPr="00C842C9">
        <w:t>rispéridone</w:t>
      </w:r>
      <w:proofErr w:type="spellEnd"/>
      <w:r w:rsidRPr="00C842C9">
        <w:t xml:space="preserve"> et la </w:t>
      </w:r>
      <w:proofErr w:type="spellStart"/>
      <w:r w:rsidRPr="00C842C9">
        <w:t>clozapine</w:t>
      </w:r>
      <w:proofErr w:type="spellEnd"/>
      <w:r w:rsidRPr="00C842C9">
        <w:t xml:space="preserve"> présentent des risques plus élevés (40 %–60 %). Les mécanismes impliqués incluent l'antagonisme des récepteurs dopaminergiques (affectant la libido et la prolactine), </w:t>
      </w:r>
      <w:proofErr w:type="spellStart"/>
      <w:r w:rsidRPr="00C842C9">
        <w:t>histaminergiques</w:t>
      </w:r>
      <w:proofErr w:type="spellEnd"/>
      <w:r w:rsidRPr="00C842C9">
        <w:t xml:space="preserve"> (sédation), cholinergiques et alpha-adrénergiques (troubles de l'érection).</w:t>
      </w:r>
    </w:p>
    <w:p w14:paraId="39A732B1" w14:textId="0216D3FA" w:rsidR="00450CF7" w:rsidRPr="00C842C9" w:rsidRDefault="00450CF7" w:rsidP="00450CF7">
      <w:r w:rsidRPr="00C842C9">
        <w:lastRenderedPageBreak/>
        <w:t xml:space="preserve">Cependant, les données restent limitées par des biais méthodologiques et un manque d'études épidémiologiques robustes. L'analyse des bases de données post-commercialisation, comme le système FAERS de la FDA, pourrait offrir des insights plus fiables en évaluant les rapports d'effets indésirables en conditions réelles. Cette approche permettrait de mieux comprendre l'association entre les </w:t>
      </w:r>
      <w:proofErr w:type="spellStart"/>
      <w:r w:rsidRPr="00C842C9">
        <w:t>AAPs</w:t>
      </w:r>
      <w:proofErr w:type="spellEnd"/>
      <w:r w:rsidRPr="00C842C9">
        <w:t xml:space="preserve"> et les DS, ainsi que l'influence des profils pharmacologiques des molécules.</w:t>
      </w:r>
    </w:p>
    <w:p w14:paraId="53D8CCDA" w14:textId="609653B9" w:rsidR="00450CF7" w:rsidRPr="00C842C9" w:rsidRDefault="00450CF7" w:rsidP="00952332">
      <w:r w:rsidRPr="00C842C9">
        <w:t xml:space="preserve">Notre objectif est de quantifier l’intensité de l’association entre différents </w:t>
      </w:r>
      <w:proofErr w:type="spellStart"/>
      <w:r w:rsidRPr="00C842C9">
        <w:t>AAPs</w:t>
      </w:r>
      <w:proofErr w:type="spellEnd"/>
      <w:r w:rsidRPr="00C842C9">
        <w:t xml:space="preserve"> et les DS déclarées. Nous étudions également si le signal de sécurité concernant les DS est influencé par l’occupation des récepteurs des neurotransmetteurs. Nos résultats permettront une meilleure évaluation de la sécurité des médicaments et de la corrélation entre les </w:t>
      </w:r>
      <w:proofErr w:type="spellStart"/>
      <w:r w:rsidRPr="00C842C9">
        <w:t>AAPs</w:t>
      </w:r>
      <w:proofErr w:type="spellEnd"/>
      <w:r w:rsidRPr="00C842C9">
        <w:t xml:space="preserve"> et les DS.</w:t>
      </w:r>
    </w:p>
    <w:p w14:paraId="5E00D71B" w14:textId="5CF4E5F9" w:rsidR="00450CF7" w:rsidRPr="00C842C9" w:rsidRDefault="00450CF7" w:rsidP="00450CF7">
      <w:pPr>
        <w:pStyle w:val="Titre2"/>
        <w:rPr>
          <w:b/>
          <w:bCs/>
          <w:color w:val="auto"/>
        </w:rPr>
      </w:pPr>
      <w:r w:rsidRPr="00C842C9">
        <w:rPr>
          <w:b/>
          <w:bCs/>
          <w:color w:val="auto"/>
        </w:rPr>
        <w:t>Matériels et méthodes :</w:t>
      </w:r>
    </w:p>
    <w:p w14:paraId="2804FE94" w14:textId="329701E5" w:rsidR="0015607F" w:rsidRPr="00C842C9" w:rsidRDefault="0015607F" w:rsidP="0015607F">
      <w:pPr>
        <w:pStyle w:val="Titre3"/>
        <w:rPr>
          <w:b/>
          <w:bCs/>
          <w:color w:val="auto"/>
        </w:rPr>
      </w:pPr>
      <w:r w:rsidRPr="00C842C9">
        <w:rPr>
          <w:b/>
          <w:bCs/>
          <w:color w:val="auto"/>
        </w:rPr>
        <w:t>Source des données</w:t>
      </w:r>
    </w:p>
    <w:p w14:paraId="62A74BCE" w14:textId="77777777" w:rsidR="0015607F" w:rsidRPr="00C842C9" w:rsidRDefault="0015607F" w:rsidP="0015607F">
      <w:pPr>
        <w:pStyle w:val="NormalWeb"/>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La base </w:t>
      </w:r>
      <w:r w:rsidRPr="00C842C9">
        <w:rPr>
          <w:rFonts w:asciiTheme="minorHAnsi" w:eastAsiaTheme="minorHAnsi" w:hAnsiTheme="minorHAnsi" w:cstheme="minorBidi"/>
          <w:b/>
          <w:bCs/>
          <w:kern w:val="2"/>
          <w:lang w:val="fr-FR" w:eastAsia="en-US"/>
          <w14:ligatures w14:val="standardContextual"/>
        </w:rPr>
        <w:t>FAERS</w:t>
      </w:r>
      <w:r w:rsidRPr="00C842C9">
        <w:rPr>
          <w:rFonts w:asciiTheme="minorHAnsi" w:eastAsiaTheme="minorHAnsi" w:hAnsiTheme="minorHAnsi" w:cstheme="minorBidi"/>
          <w:kern w:val="2"/>
          <w:lang w:val="fr-FR" w:eastAsia="en-US"/>
          <w14:ligatures w14:val="standardContextual"/>
        </w:rPr>
        <w:t> (</w:t>
      </w:r>
      <w:r w:rsidRPr="00C842C9">
        <w:rPr>
          <w:rFonts w:asciiTheme="minorHAnsi" w:eastAsiaTheme="minorHAnsi" w:hAnsiTheme="minorHAnsi" w:cstheme="minorBidi"/>
          <w:i/>
          <w:iCs/>
          <w:kern w:val="2"/>
          <w:lang w:val="fr-FR" w:eastAsia="en-US"/>
          <w14:ligatures w14:val="standardContextual"/>
        </w:rPr>
        <w:t xml:space="preserve">FDA Adverse Event </w:t>
      </w:r>
      <w:proofErr w:type="spellStart"/>
      <w:r w:rsidRPr="00C842C9">
        <w:rPr>
          <w:rFonts w:asciiTheme="minorHAnsi" w:eastAsiaTheme="minorHAnsi" w:hAnsiTheme="minorHAnsi" w:cstheme="minorBidi"/>
          <w:i/>
          <w:iCs/>
          <w:kern w:val="2"/>
          <w:lang w:val="fr-FR" w:eastAsia="en-US"/>
          <w14:ligatures w14:val="standardContextual"/>
        </w:rPr>
        <w:t>Reporting</w:t>
      </w:r>
      <w:proofErr w:type="spellEnd"/>
      <w:r w:rsidRPr="00C842C9">
        <w:rPr>
          <w:rFonts w:asciiTheme="minorHAnsi" w:eastAsiaTheme="minorHAnsi" w:hAnsiTheme="minorHAnsi" w:cstheme="minorBidi"/>
          <w:i/>
          <w:iCs/>
          <w:kern w:val="2"/>
          <w:lang w:val="fr-FR" w:eastAsia="en-US"/>
          <w14:ligatures w14:val="standardContextual"/>
        </w:rPr>
        <w:t xml:space="preserve"> System</w:t>
      </w:r>
      <w:r w:rsidRPr="00C842C9">
        <w:rPr>
          <w:rFonts w:asciiTheme="minorHAnsi" w:eastAsiaTheme="minorHAnsi" w:hAnsiTheme="minorHAnsi" w:cstheme="minorBidi"/>
          <w:kern w:val="2"/>
          <w:lang w:val="fr-FR" w:eastAsia="en-US"/>
          <w14:ligatures w14:val="standardContextual"/>
        </w:rPr>
        <w:t>) collecte des déclarations spontanées d’effets indésirables (EI) liés aux médicaments, provenant de médecins, patients et industriels.</w:t>
      </w:r>
    </w:p>
    <w:p w14:paraId="47140816" w14:textId="2DA96E98" w:rsidR="0015607F" w:rsidRPr="00C842C9" w:rsidRDefault="0015607F" w:rsidP="0015607F">
      <w:pPr>
        <w:pStyle w:val="Titre3"/>
        <w:rPr>
          <w:b/>
          <w:bCs/>
          <w:color w:val="auto"/>
        </w:rPr>
      </w:pPr>
      <w:r w:rsidRPr="00C842C9">
        <w:rPr>
          <w:b/>
          <w:bCs/>
          <w:color w:val="auto"/>
        </w:rPr>
        <w:t xml:space="preserve"> Données cliniques étudiées</w:t>
      </w:r>
    </w:p>
    <w:p w14:paraId="6686FD32" w14:textId="77777777" w:rsidR="0015607F" w:rsidRPr="00C842C9" w:rsidRDefault="0015607F" w:rsidP="0015607F">
      <w:pPr>
        <w:pStyle w:val="NormalWeb"/>
        <w:numPr>
          <w:ilvl w:val="0"/>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Médicaments analysés</w:t>
      </w:r>
      <w:r w:rsidRPr="00C842C9">
        <w:rPr>
          <w:rFonts w:asciiTheme="minorHAnsi" w:eastAsiaTheme="minorHAnsi" w:hAnsiTheme="minorHAnsi" w:cstheme="minorBidi"/>
          <w:kern w:val="2"/>
          <w:lang w:val="fr-FR" w:eastAsia="en-US"/>
          <w14:ligatures w14:val="standardContextual"/>
        </w:rPr>
        <w:t> : 14 antipsychotiques atypiques (AAP), dont l’</w:t>
      </w:r>
      <w:proofErr w:type="spellStart"/>
      <w:r w:rsidRPr="00C842C9">
        <w:rPr>
          <w:rFonts w:asciiTheme="minorHAnsi" w:eastAsiaTheme="minorHAnsi" w:hAnsiTheme="minorHAnsi" w:cstheme="minorBidi"/>
          <w:kern w:val="2"/>
          <w:lang w:val="fr-FR" w:eastAsia="en-US"/>
          <w14:ligatures w14:val="standardContextual"/>
        </w:rPr>
        <w:t>amisulpride</w:t>
      </w:r>
      <w:proofErr w:type="spellEnd"/>
      <w:r w:rsidRPr="00C842C9">
        <w:rPr>
          <w:rFonts w:asciiTheme="minorHAnsi" w:eastAsiaTheme="minorHAnsi" w:hAnsiTheme="minorHAnsi" w:cstheme="minorBidi"/>
          <w:kern w:val="2"/>
          <w:lang w:val="fr-FR" w:eastAsia="en-US"/>
          <w14:ligatures w14:val="standardContextual"/>
        </w:rPr>
        <w:t>, l’</w:t>
      </w:r>
      <w:proofErr w:type="spellStart"/>
      <w:r w:rsidRPr="00C842C9">
        <w:rPr>
          <w:rFonts w:asciiTheme="minorHAnsi" w:eastAsiaTheme="minorHAnsi" w:hAnsiTheme="minorHAnsi" w:cstheme="minorBidi"/>
          <w:kern w:val="2"/>
          <w:lang w:val="fr-FR" w:eastAsia="en-US"/>
          <w14:ligatures w14:val="standardContextual"/>
        </w:rPr>
        <w:t>aripiprazole</w:t>
      </w:r>
      <w:proofErr w:type="spellEnd"/>
      <w:r w:rsidRPr="00C842C9">
        <w:rPr>
          <w:rFonts w:asciiTheme="minorHAnsi" w:eastAsiaTheme="minorHAnsi" w:hAnsiTheme="minorHAnsi" w:cstheme="minorBidi"/>
          <w:kern w:val="2"/>
          <w:lang w:val="fr-FR" w:eastAsia="en-US"/>
          <w14:ligatures w14:val="standardContextual"/>
        </w:rPr>
        <w:t>, l’</w:t>
      </w:r>
      <w:proofErr w:type="spellStart"/>
      <w:r w:rsidRPr="00C842C9">
        <w:rPr>
          <w:rFonts w:asciiTheme="minorHAnsi" w:eastAsiaTheme="minorHAnsi" w:hAnsiTheme="minorHAnsi" w:cstheme="minorBidi"/>
          <w:kern w:val="2"/>
          <w:lang w:val="fr-FR" w:eastAsia="en-US"/>
          <w14:ligatures w14:val="standardContextual"/>
        </w:rPr>
        <w:t>asénapine</w:t>
      </w:r>
      <w:proofErr w:type="spellEnd"/>
      <w:r w:rsidRPr="00C842C9">
        <w:rPr>
          <w:rFonts w:asciiTheme="minorHAnsi" w:eastAsiaTheme="minorHAnsi" w:hAnsiTheme="minorHAnsi" w:cstheme="minorBidi"/>
          <w:kern w:val="2"/>
          <w:lang w:val="fr-FR" w:eastAsia="en-US"/>
          <w14:ligatures w14:val="standardContextual"/>
        </w:rPr>
        <w:t xml:space="preserve">, le </w:t>
      </w:r>
      <w:proofErr w:type="spellStart"/>
      <w:r w:rsidRPr="00C842C9">
        <w:rPr>
          <w:rFonts w:asciiTheme="minorHAnsi" w:eastAsiaTheme="minorHAnsi" w:hAnsiTheme="minorHAnsi" w:cstheme="minorBidi"/>
          <w:kern w:val="2"/>
          <w:lang w:val="fr-FR" w:eastAsia="en-US"/>
          <w14:ligatures w14:val="standardContextual"/>
        </w:rPr>
        <w:t>brexpiprazole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cariprazine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clozapine</w:t>
      </w:r>
      <w:proofErr w:type="spellEnd"/>
      <w:r w:rsidRPr="00C842C9">
        <w:rPr>
          <w:rFonts w:asciiTheme="minorHAnsi" w:eastAsiaTheme="minorHAnsi" w:hAnsiTheme="minorHAnsi" w:cstheme="minorBidi"/>
          <w:kern w:val="2"/>
          <w:lang w:val="fr-FR" w:eastAsia="en-US"/>
          <w14:ligatures w14:val="standardContextual"/>
        </w:rPr>
        <w:t>, l’</w:t>
      </w:r>
      <w:proofErr w:type="spellStart"/>
      <w:r w:rsidRPr="00C842C9">
        <w:rPr>
          <w:rFonts w:asciiTheme="minorHAnsi" w:eastAsiaTheme="minorHAnsi" w:hAnsiTheme="minorHAnsi" w:cstheme="minorBidi"/>
          <w:kern w:val="2"/>
          <w:lang w:val="fr-FR" w:eastAsia="en-US"/>
          <w14:ligatures w14:val="standardContextual"/>
        </w:rPr>
        <w:t>ilopéridone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loxapine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lurasidone</w:t>
      </w:r>
      <w:proofErr w:type="spellEnd"/>
      <w:r w:rsidRPr="00C842C9">
        <w:rPr>
          <w:rFonts w:asciiTheme="minorHAnsi" w:eastAsiaTheme="minorHAnsi" w:hAnsiTheme="minorHAnsi" w:cstheme="minorBidi"/>
          <w:kern w:val="2"/>
          <w:lang w:val="fr-FR" w:eastAsia="en-US"/>
          <w14:ligatures w14:val="standardContextual"/>
        </w:rPr>
        <w:t>, l’</w:t>
      </w:r>
      <w:proofErr w:type="spellStart"/>
      <w:r w:rsidRPr="00C842C9">
        <w:rPr>
          <w:rFonts w:asciiTheme="minorHAnsi" w:eastAsiaTheme="minorHAnsi" w:hAnsiTheme="minorHAnsi" w:cstheme="minorBidi"/>
          <w:kern w:val="2"/>
          <w:lang w:val="fr-FR" w:eastAsia="en-US"/>
          <w14:ligatures w14:val="standardContextual"/>
        </w:rPr>
        <w:t>olanzapine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palipéridone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quétiapine</w:t>
      </w:r>
      <w:proofErr w:type="spellEnd"/>
      <w:r w:rsidRPr="00C842C9">
        <w:rPr>
          <w:rFonts w:asciiTheme="minorHAnsi" w:eastAsiaTheme="minorHAnsi" w:hAnsiTheme="minorHAnsi" w:cstheme="minorBidi"/>
          <w:kern w:val="2"/>
          <w:lang w:val="fr-FR" w:eastAsia="en-US"/>
          <w14:ligatures w14:val="standardContextual"/>
        </w:rPr>
        <w:t xml:space="preserve">, la </w:t>
      </w:r>
      <w:proofErr w:type="spellStart"/>
      <w:r w:rsidRPr="00C842C9">
        <w:rPr>
          <w:rFonts w:asciiTheme="minorHAnsi" w:eastAsiaTheme="minorHAnsi" w:hAnsiTheme="minorHAnsi" w:cstheme="minorBidi"/>
          <w:kern w:val="2"/>
          <w:lang w:val="fr-FR" w:eastAsia="en-US"/>
          <w14:ligatures w14:val="standardContextual"/>
        </w:rPr>
        <w:t>rispéridone</w:t>
      </w:r>
      <w:proofErr w:type="spellEnd"/>
      <w:r w:rsidRPr="00C842C9">
        <w:rPr>
          <w:rFonts w:asciiTheme="minorHAnsi" w:eastAsiaTheme="minorHAnsi" w:hAnsiTheme="minorHAnsi" w:cstheme="minorBidi"/>
          <w:kern w:val="2"/>
          <w:lang w:val="fr-FR" w:eastAsia="en-US"/>
          <w14:ligatures w14:val="standardContextual"/>
        </w:rPr>
        <w:t xml:space="preserve"> et la </w:t>
      </w:r>
      <w:proofErr w:type="spellStart"/>
      <w:r w:rsidRPr="00C842C9">
        <w:rPr>
          <w:rFonts w:asciiTheme="minorHAnsi" w:eastAsiaTheme="minorHAnsi" w:hAnsiTheme="minorHAnsi" w:cstheme="minorBidi"/>
          <w:kern w:val="2"/>
          <w:lang w:val="fr-FR" w:eastAsia="en-US"/>
          <w14:ligatures w14:val="standardContextual"/>
        </w:rPr>
        <w:t>ziprasidone</w:t>
      </w:r>
      <w:proofErr w:type="spellEnd"/>
      <w:r w:rsidRPr="00C842C9">
        <w:rPr>
          <w:rFonts w:asciiTheme="minorHAnsi" w:eastAsiaTheme="minorHAnsi" w:hAnsiTheme="minorHAnsi" w:cstheme="minorBidi"/>
          <w:kern w:val="2"/>
          <w:lang w:val="fr-FR" w:eastAsia="en-US"/>
          <w14:ligatures w14:val="standardContextual"/>
        </w:rPr>
        <w:t>.</w:t>
      </w:r>
    </w:p>
    <w:p w14:paraId="63AC52C2" w14:textId="77777777" w:rsidR="0015607F" w:rsidRPr="00C842C9" w:rsidRDefault="0015607F" w:rsidP="0015607F">
      <w:pPr>
        <w:pStyle w:val="NormalWeb"/>
        <w:numPr>
          <w:ilvl w:val="0"/>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Critères de sélection</w:t>
      </w:r>
      <w:r w:rsidRPr="00C842C9">
        <w:rPr>
          <w:rFonts w:asciiTheme="minorHAnsi" w:eastAsiaTheme="minorHAnsi" w:hAnsiTheme="minorHAnsi" w:cstheme="minorBidi"/>
          <w:kern w:val="2"/>
          <w:lang w:val="fr-FR" w:eastAsia="en-US"/>
          <w14:ligatures w14:val="standardContextual"/>
        </w:rPr>
        <w:t> : Seuls les rapports où l’AAP est considéré comme </w:t>
      </w:r>
      <w:r w:rsidRPr="00C842C9">
        <w:rPr>
          <w:rFonts w:asciiTheme="minorHAnsi" w:eastAsiaTheme="minorHAnsi" w:hAnsiTheme="minorHAnsi" w:cstheme="minorBidi"/>
          <w:bCs/>
          <w:kern w:val="2"/>
          <w:lang w:val="fr-FR" w:eastAsia="en-US"/>
          <w14:ligatures w14:val="standardContextual"/>
        </w:rPr>
        <w:t>"</w:t>
      </w:r>
      <w:proofErr w:type="spellStart"/>
      <w:r w:rsidRPr="00C842C9">
        <w:rPr>
          <w:rFonts w:asciiTheme="minorHAnsi" w:eastAsiaTheme="minorHAnsi" w:hAnsiTheme="minorHAnsi" w:cstheme="minorBidi"/>
          <w:bCs/>
          <w:kern w:val="2"/>
          <w:lang w:val="fr-FR" w:eastAsia="en-US"/>
          <w14:ligatures w14:val="standardContextual"/>
        </w:rPr>
        <w:t>primary</w:t>
      </w:r>
      <w:proofErr w:type="spellEnd"/>
      <w:r w:rsidRPr="00C842C9">
        <w:rPr>
          <w:rFonts w:asciiTheme="minorHAnsi" w:eastAsiaTheme="minorHAnsi" w:hAnsiTheme="minorHAnsi" w:cstheme="minorBidi"/>
          <w:bCs/>
          <w:kern w:val="2"/>
          <w:lang w:val="fr-FR" w:eastAsia="en-US"/>
          <w14:ligatures w14:val="standardContextual"/>
        </w:rPr>
        <w:t xml:space="preserve"> suspect</w:t>
      </w:r>
      <w:proofErr w:type="gramStart"/>
      <w:r w:rsidRPr="00C842C9">
        <w:rPr>
          <w:rFonts w:asciiTheme="minorHAnsi" w:eastAsiaTheme="minorHAnsi" w:hAnsiTheme="minorHAnsi" w:cstheme="minorBidi"/>
          <w:bCs/>
          <w:kern w:val="2"/>
          <w:lang w:val="fr-FR" w:eastAsia="en-US"/>
          <w14:ligatures w14:val="standardContextual"/>
        </w:rPr>
        <w:t>"</w:t>
      </w:r>
      <w:r w:rsidRPr="00C842C9">
        <w:rPr>
          <w:rFonts w:asciiTheme="minorHAnsi" w:eastAsiaTheme="minorHAnsi" w:hAnsiTheme="minorHAnsi" w:cstheme="minorBidi"/>
          <w:kern w:val="2"/>
          <w:lang w:val="fr-FR" w:eastAsia="en-US"/>
          <w14:ligatures w14:val="standardContextual"/>
        </w:rPr>
        <w:t>(</w:t>
      </w:r>
      <w:proofErr w:type="gramEnd"/>
      <w:r w:rsidRPr="00C842C9">
        <w:rPr>
          <w:rFonts w:asciiTheme="minorHAnsi" w:eastAsiaTheme="minorHAnsi" w:hAnsiTheme="minorHAnsi" w:cstheme="minorBidi"/>
          <w:kern w:val="2"/>
          <w:lang w:val="fr-FR" w:eastAsia="en-US"/>
          <w14:ligatures w14:val="standardContextual"/>
        </w:rPr>
        <w:t>cause principale suspectée) sont retenus.</w:t>
      </w:r>
    </w:p>
    <w:p w14:paraId="64EFD662" w14:textId="77777777" w:rsidR="0015607F" w:rsidRPr="00C842C9" w:rsidRDefault="0015607F" w:rsidP="0015607F">
      <w:pPr>
        <w:pStyle w:val="NormalWeb"/>
        <w:numPr>
          <w:ilvl w:val="0"/>
          <w:numId w:val="7"/>
        </w:numPr>
        <w:spacing w:before="0" w:beforeAutospacing="0" w:after="6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Troubles sexuels (SD) analysés</w:t>
      </w:r>
      <w:r w:rsidRPr="00C842C9">
        <w:rPr>
          <w:rFonts w:asciiTheme="minorHAnsi" w:eastAsiaTheme="minorHAnsi" w:hAnsiTheme="minorHAnsi" w:cstheme="minorBidi"/>
          <w:kern w:val="2"/>
          <w:lang w:val="fr-FR" w:eastAsia="en-US"/>
          <w14:ligatures w14:val="standardContextual"/>
        </w:rPr>
        <w:t> :</w:t>
      </w:r>
    </w:p>
    <w:p w14:paraId="60005BBF" w14:textId="77777777" w:rsidR="0015607F" w:rsidRPr="00C842C9" w:rsidRDefault="0015607F" w:rsidP="0015607F">
      <w:pPr>
        <w:pStyle w:val="NormalWeb"/>
        <w:numPr>
          <w:ilvl w:val="1"/>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Hypersexualité</w:t>
      </w:r>
      <w:r w:rsidRPr="00C842C9">
        <w:rPr>
          <w:rFonts w:asciiTheme="minorHAnsi" w:eastAsiaTheme="minorHAnsi" w:hAnsiTheme="minorHAnsi" w:cstheme="minorBidi"/>
          <w:kern w:val="2"/>
          <w:lang w:val="fr-FR" w:eastAsia="en-US"/>
          <w14:ligatures w14:val="standardContextual"/>
        </w:rPr>
        <w:t> (comportements sexuels compulsifs).</w:t>
      </w:r>
    </w:p>
    <w:p w14:paraId="08CC88AE" w14:textId="77777777" w:rsidR="0015607F" w:rsidRPr="00C842C9" w:rsidRDefault="0015607F" w:rsidP="0015607F">
      <w:pPr>
        <w:pStyle w:val="NormalWeb"/>
        <w:numPr>
          <w:ilvl w:val="1"/>
          <w:numId w:val="7"/>
        </w:numPr>
        <w:spacing w:before="0" w:beforeAutospacing="0" w:after="0" w:afterAutospacing="0"/>
        <w:rPr>
          <w:rFonts w:asciiTheme="minorHAnsi" w:eastAsiaTheme="minorHAnsi" w:hAnsiTheme="minorHAnsi" w:cstheme="minorBidi"/>
          <w:kern w:val="2"/>
          <w:lang w:val="fr-FR" w:eastAsia="en-US"/>
          <w14:ligatures w14:val="standardContextual"/>
        </w:rPr>
      </w:pPr>
      <w:proofErr w:type="spellStart"/>
      <w:r w:rsidRPr="00C842C9">
        <w:rPr>
          <w:rFonts w:asciiTheme="minorHAnsi" w:eastAsiaTheme="minorHAnsi" w:hAnsiTheme="minorHAnsi" w:cstheme="minorBidi"/>
          <w:b/>
          <w:bCs/>
          <w:kern w:val="2"/>
          <w:lang w:val="fr-FR" w:eastAsia="en-US"/>
          <w14:ligatures w14:val="standardContextual"/>
        </w:rPr>
        <w:t>Hyposexualité</w:t>
      </w:r>
      <w:proofErr w:type="spellEnd"/>
      <w:r w:rsidRPr="00C842C9">
        <w:rPr>
          <w:rFonts w:asciiTheme="minorHAnsi" w:eastAsiaTheme="minorHAnsi" w:hAnsiTheme="minorHAnsi" w:cstheme="minorBidi"/>
          <w:kern w:val="2"/>
          <w:lang w:val="fr-FR" w:eastAsia="en-US"/>
          <w14:ligatures w14:val="standardContextual"/>
        </w:rPr>
        <w:t> (perte de libido, anorgasmie).</w:t>
      </w:r>
    </w:p>
    <w:p w14:paraId="29A429F8" w14:textId="77777777" w:rsidR="0015607F" w:rsidRPr="00C842C9" w:rsidRDefault="0015607F" w:rsidP="0015607F">
      <w:pPr>
        <w:pStyle w:val="NormalWeb"/>
        <w:numPr>
          <w:ilvl w:val="1"/>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Dysfonction érectile et troubles de l’éjaculation</w:t>
      </w:r>
      <w:r w:rsidRPr="00C842C9">
        <w:rPr>
          <w:rFonts w:asciiTheme="minorHAnsi" w:eastAsiaTheme="minorHAnsi" w:hAnsiTheme="minorHAnsi" w:cstheme="minorBidi"/>
          <w:kern w:val="2"/>
          <w:lang w:val="fr-FR" w:eastAsia="en-US"/>
          <w14:ligatures w14:val="standardContextual"/>
        </w:rPr>
        <w:t>.</w:t>
      </w:r>
    </w:p>
    <w:p w14:paraId="19EACFC2" w14:textId="77777777" w:rsidR="0015607F" w:rsidRPr="00C842C9" w:rsidRDefault="0015607F" w:rsidP="0015607F">
      <w:pPr>
        <w:pStyle w:val="NormalWeb"/>
        <w:numPr>
          <w:ilvl w:val="0"/>
          <w:numId w:val="7"/>
        </w:numPr>
        <w:spacing w:before="0" w:beforeAutospacing="0" w:after="6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Mécanismes pharmacologiques explorés</w:t>
      </w:r>
      <w:r w:rsidRPr="00C842C9">
        <w:rPr>
          <w:rFonts w:asciiTheme="minorHAnsi" w:eastAsiaTheme="minorHAnsi" w:hAnsiTheme="minorHAnsi" w:cstheme="minorBidi"/>
          <w:kern w:val="2"/>
          <w:lang w:val="fr-FR" w:eastAsia="en-US"/>
          <w14:ligatures w14:val="standardContextual"/>
        </w:rPr>
        <w:t> :</w:t>
      </w:r>
    </w:p>
    <w:p w14:paraId="603115F3" w14:textId="77777777" w:rsidR="0015607F" w:rsidRPr="00C842C9" w:rsidRDefault="0015607F" w:rsidP="0015607F">
      <w:pPr>
        <w:pStyle w:val="NormalWeb"/>
        <w:numPr>
          <w:ilvl w:val="1"/>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Interaction des AAP avec des récepteurs (sérotoninergiques 5-HT1A/2A/2C/7, adrénergiques α1/2, muscariniques, dopaminergiques D2/D3, histaminique H1).</w:t>
      </w:r>
    </w:p>
    <w:p w14:paraId="5623E843" w14:textId="77777777" w:rsidR="0015607F" w:rsidRPr="00C842C9" w:rsidRDefault="0015607F" w:rsidP="0015607F">
      <w:pPr>
        <w:pStyle w:val="NormalWeb"/>
        <w:numPr>
          <w:ilvl w:val="1"/>
          <w:numId w:val="7"/>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Estimation de l’</w:t>
      </w:r>
      <w:r w:rsidRPr="00C842C9">
        <w:rPr>
          <w:rFonts w:asciiTheme="minorHAnsi" w:eastAsiaTheme="minorHAnsi" w:hAnsiTheme="minorHAnsi" w:cstheme="minorBidi"/>
          <w:b/>
          <w:bCs/>
          <w:kern w:val="2"/>
          <w:lang w:val="fr-FR" w:eastAsia="en-US"/>
          <w14:ligatures w14:val="standardContextual"/>
        </w:rPr>
        <w:t>occupation des récepteurs</w:t>
      </w:r>
      <w:r w:rsidRPr="00C842C9">
        <w:rPr>
          <w:rFonts w:asciiTheme="minorHAnsi" w:eastAsiaTheme="minorHAnsi" w:hAnsiTheme="minorHAnsi" w:cstheme="minorBidi"/>
          <w:kern w:val="2"/>
          <w:lang w:val="fr-FR" w:eastAsia="en-US"/>
          <w14:ligatures w14:val="standardContextual"/>
        </w:rPr>
        <w:t> en conditions thérapeutiques (basée sur concentrations sanguines et affinités).</w:t>
      </w:r>
    </w:p>
    <w:p w14:paraId="3A923C24" w14:textId="42CE0C69" w:rsidR="0015607F" w:rsidRPr="00C842C9" w:rsidRDefault="0015607F" w:rsidP="0015607F">
      <w:pPr>
        <w:pStyle w:val="Titre3"/>
        <w:rPr>
          <w:b/>
          <w:bCs/>
          <w:color w:val="auto"/>
        </w:rPr>
      </w:pPr>
      <w:r w:rsidRPr="00C842C9">
        <w:rPr>
          <w:b/>
          <w:bCs/>
          <w:color w:val="auto"/>
        </w:rPr>
        <w:t xml:space="preserve"> Approche clinique et analyse</w:t>
      </w:r>
    </w:p>
    <w:p w14:paraId="1719F6D7" w14:textId="77777777" w:rsidR="0015607F" w:rsidRPr="00C842C9" w:rsidRDefault="0015607F" w:rsidP="0015607F">
      <w:pPr>
        <w:pStyle w:val="NormalWeb"/>
        <w:numPr>
          <w:ilvl w:val="0"/>
          <w:numId w:val="8"/>
        </w:numPr>
        <w:spacing w:before="0" w:beforeAutospacing="0" w:after="6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Détection des signaux d’alerte</w:t>
      </w:r>
      <w:r w:rsidRPr="00C842C9">
        <w:rPr>
          <w:rFonts w:asciiTheme="minorHAnsi" w:eastAsiaTheme="minorHAnsi" w:hAnsiTheme="minorHAnsi" w:cstheme="minorBidi"/>
          <w:kern w:val="2"/>
          <w:lang w:val="fr-FR" w:eastAsia="en-US"/>
          <w14:ligatures w14:val="standardContextual"/>
        </w:rPr>
        <w:t> :</w:t>
      </w:r>
    </w:p>
    <w:p w14:paraId="5A1F4DB3" w14:textId="77777777"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 xml:space="preserve">Identification des associations fréquentes (ex. : </w:t>
      </w:r>
      <w:proofErr w:type="spellStart"/>
      <w:r w:rsidRPr="00C842C9">
        <w:rPr>
          <w:rFonts w:asciiTheme="minorHAnsi" w:eastAsiaTheme="minorHAnsi" w:hAnsiTheme="minorHAnsi" w:cstheme="minorBidi"/>
          <w:kern w:val="2"/>
          <w:lang w:val="fr-FR" w:eastAsia="en-US"/>
          <w14:ligatures w14:val="standardContextual"/>
        </w:rPr>
        <w:t>rispéridone</w:t>
      </w:r>
      <w:proofErr w:type="spellEnd"/>
      <w:r w:rsidRPr="00C842C9">
        <w:rPr>
          <w:rFonts w:asciiTheme="minorHAnsi" w:eastAsiaTheme="minorHAnsi" w:hAnsiTheme="minorHAnsi" w:cstheme="minorBidi"/>
          <w:kern w:val="2"/>
          <w:lang w:val="fr-FR" w:eastAsia="en-US"/>
          <w14:ligatures w14:val="standardContextual"/>
        </w:rPr>
        <w:t xml:space="preserve"> et dysfonction érectile).</w:t>
      </w:r>
    </w:p>
    <w:p w14:paraId="7DF4C3AF" w14:textId="77777777"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Comparaison entre différents AAP.</w:t>
      </w:r>
    </w:p>
    <w:p w14:paraId="320413DA" w14:textId="77777777" w:rsidR="0015607F" w:rsidRPr="00C842C9" w:rsidRDefault="0015607F" w:rsidP="0015607F">
      <w:pPr>
        <w:pStyle w:val="NormalWeb"/>
        <w:numPr>
          <w:ilvl w:val="0"/>
          <w:numId w:val="8"/>
        </w:numPr>
        <w:spacing w:before="0" w:beforeAutospacing="0" w:after="6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Impact des alertes réglementaires</w:t>
      </w:r>
      <w:r w:rsidRPr="00C842C9">
        <w:rPr>
          <w:rFonts w:asciiTheme="minorHAnsi" w:eastAsiaTheme="minorHAnsi" w:hAnsiTheme="minorHAnsi" w:cstheme="minorBidi"/>
          <w:kern w:val="2"/>
          <w:lang w:val="fr-FR" w:eastAsia="en-US"/>
          <w14:ligatures w14:val="standardContextual"/>
        </w:rPr>
        <w:t> :</w:t>
      </w:r>
    </w:p>
    <w:p w14:paraId="617A4EA9" w14:textId="75BEE64B"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En 2016, la FDA a émis un avertissement sur les </w:t>
      </w:r>
      <w:r w:rsidRPr="00C842C9">
        <w:rPr>
          <w:rFonts w:asciiTheme="minorHAnsi" w:eastAsiaTheme="minorHAnsi" w:hAnsiTheme="minorHAnsi" w:cstheme="minorBidi"/>
          <w:b/>
          <w:bCs/>
          <w:kern w:val="2"/>
          <w:lang w:val="fr-FR" w:eastAsia="en-US"/>
          <w14:ligatures w14:val="standardContextual"/>
        </w:rPr>
        <w:t>troubles du contrôle des impulsions (TCI)</w:t>
      </w:r>
      <w:r w:rsidR="00C842C9">
        <w:rPr>
          <w:rFonts w:asciiTheme="minorHAnsi" w:eastAsiaTheme="minorHAnsi" w:hAnsiTheme="minorHAnsi" w:cstheme="minorBidi"/>
          <w:b/>
          <w:bCs/>
          <w:kern w:val="2"/>
          <w:lang w:val="fr-FR" w:eastAsia="en-US"/>
          <w14:ligatures w14:val="standardContextual"/>
        </w:rPr>
        <w:t xml:space="preserve"> </w:t>
      </w:r>
      <w:bookmarkStart w:id="0" w:name="_GoBack"/>
      <w:bookmarkEnd w:id="0"/>
      <w:r w:rsidRPr="00C842C9">
        <w:rPr>
          <w:rFonts w:asciiTheme="minorHAnsi" w:eastAsiaTheme="minorHAnsi" w:hAnsiTheme="minorHAnsi" w:cstheme="minorBidi"/>
          <w:kern w:val="2"/>
          <w:lang w:val="fr-FR" w:eastAsia="en-US"/>
          <w14:ligatures w14:val="standardContextual"/>
        </w:rPr>
        <w:t xml:space="preserve">sous </w:t>
      </w:r>
      <w:proofErr w:type="spellStart"/>
      <w:r w:rsidRPr="00C842C9">
        <w:rPr>
          <w:rFonts w:asciiTheme="minorHAnsi" w:eastAsiaTheme="minorHAnsi" w:hAnsiTheme="minorHAnsi" w:cstheme="minorBidi"/>
          <w:kern w:val="2"/>
          <w:lang w:val="fr-FR" w:eastAsia="en-US"/>
          <w14:ligatures w14:val="standardContextual"/>
        </w:rPr>
        <w:t>aripiprazole</w:t>
      </w:r>
      <w:proofErr w:type="spellEnd"/>
      <w:r w:rsidRPr="00C842C9">
        <w:rPr>
          <w:rFonts w:asciiTheme="minorHAnsi" w:eastAsiaTheme="minorHAnsi" w:hAnsiTheme="minorHAnsi" w:cstheme="minorBidi"/>
          <w:kern w:val="2"/>
          <w:lang w:val="fr-FR" w:eastAsia="en-US"/>
          <w14:ligatures w14:val="standardContextual"/>
        </w:rPr>
        <w:t xml:space="preserve"> (hypersexualité).</w:t>
      </w:r>
    </w:p>
    <w:p w14:paraId="2C2899A3" w14:textId="77777777"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lastRenderedPageBreak/>
        <w:t>Analyse séparée des données </w:t>
      </w:r>
      <w:r w:rsidRPr="00C842C9">
        <w:rPr>
          <w:rFonts w:asciiTheme="minorHAnsi" w:eastAsiaTheme="minorHAnsi" w:hAnsiTheme="minorHAnsi" w:cstheme="minorBidi"/>
          <w:b/>
          <w:bCs/>
          <w:kern w:val="2"/>
          <w:lang w:val="fr-FR" w:eastAsia="en-US"/>
          <w14:ligatures w14:val="standardContextual"/>
        </w:rPr>
        <w:t>avant/après 2016</w:t>
      </w:r>
      <w:r w:rsidRPr="00C842C9">
        <w:rPr>
          <w:rFonts w:asciiTheme="minorHAnsi" w:eastAsiaTheme="minorHAnsi" w:hAnsiTheme="minorHAnsi" w:cstheme="minorBidi"/>
          <w:kern w:val="2"/>
          <w:lang w:val="fr-FR" w:eastAsia="en-US"/>
          <w14:ligatures w14:val="standardContextual"/>
        </w:rPr>
        <w:t> pour évaluer l’impact de cet avertissement.</w:t>
      </w:r>
    </w:p>
    <w:p w14:paraId="2C9ADFCD" w14:textId="77777777" w:rsidR="0015607F" w:rsidRPr="00C842C9" w:rsidRDefault="0015607F" w:rsidP="0015607F">
      <w:pPr>
        <w:pStyle w:val="NormalWeb"/>
        <w:numPr>
          <w:ilvl w:val="0"/>
          <w:numId w:val="8"/>
        </w:numPr>
        <w:spacing w:before="0" w:beforeAutospacing="0" w:after="6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Cohérence avec la littérature</w:t>
      </w:r>
      <w:r w:rsidRPr="00C842C9">
        <w:rPr>
          <w:rFonts w:asciiTheme="minorHAnsi" w:eastAsiaTheme="minorHAnsi" w:hAnsiTheme="minorHAnsi" w:cstheme="minorBidi"/>
          <w:kern w:val="2"/>
          <w:lang w:val="fr-FR" w:eastAsia="en-US"/>
          <w14:ligatures w14:val="standardContextual"/>
        </w:rPr>
        <w:t> :</w:t>
      </w:r>
    </w:p>
    <w:p w14:paraId="4C88904B" w14:textId="77777777"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Comparaison avec études cliniques et cas publiés.</w:t>
      </w:r>
    </w:p>
    <w:p w14:paraId="2E145867" w14:textId="77777777" w:rsidR="0015607F" w:rsidRPr="00C842C9" w:rsidRDefault="0015607F" w:rsidP="0015607F">
      <w:pPr>
        <w:pStyle w:val="NormalWeb"/>
        <w:numPr>
          <w:ilvl w:val="1"/>
          <w:numId w:val="8"/>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Évaluation de la </w:t>
      </w:r>
      <w:r w:rsidRPr="00C842C9">
        <w:rPr>
          <w:rFonts w:asciiTheme="minorHAnsi" w:eastAsiaTheme="minorHAnsi" w:hAnsiTheme="minorHAnsi" w:cstheme="minorBidi"/>
          <w:b/>
          <w:bCs/>
          <w:kern w:val="2"/>
          <w:lang w:val="fr-FR" w:eastAsia="en-US"/>
          <w14:ligatures w14:val="standardContextual"/>
        </w:rPr>
        <w:t>plausibilité biologique</w:t>
      </w:r>
      <w:r w:rsidRPr="00C842C9">
        <w:rPr>
          <w:rFonts w:asciiTheme="minorHAnsi" w:eastAsiaTheme="minorHAnsi" w:hAnsiTheme="minorHAnsi" w:cstheme="minorBidi"/>
          <w:kern w:val="2"/>
          <w:lang w:val="fr-FR" w:eastAsia="en-US"/>
          <w14:ligatures w14:val="standardContextual"/>
        </w:rPr>
        <w:t> (ex. : blocage de la dopamine → baisse de libido).</w:t>
      </w:r>
    </w:p>
    <w:p w14:paraId="5D902203" w14:textId="77777777" w:rsidR="0015607F" w:rsidRPr="00C842C9" w:rsidRDefault="0015607F" w:rsidP="0015607F">
      <w:pPr>
        <w:pStyle w:val="Titre3"/>
        <w:rPr>
          <w:b/>
          <w:bCs/>
          <w:color w:val="auto"/>
        </w:rPr>
      </w:pPr>
      <w:r w:rsidRPr="00C842C9">
        <w:rPr>
          <w:b/>
          <w:bCs/>
          <w:color w:val="auto"/>
        </w:rPr>
        <w:t>2.4 Évaluation de la causalité</w:t>
      </w:r>
    </w:p>
    <w:p w14:paraId="7D75A893" w14:textId="77777777" w:rsidR="0015607F" w:rsidRPr="00C842C9" w:rsidRDefault="0015607F" w:rsidP="0015607F">
      <w:pPr>
        <w:pStyle w:val="NormalWeb"/>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kern w:val="2"/>
          <w:lang w:val="fr-FR" w:eastAsia="en-US"/>
          <w14:ligatures w14:val="standardContextual"/>
        </w:rPr>
        <w:t>Application des </w:t>
      </w:r>
      <w:r w:rsidRPr="00C842C9">
        <w:rPr>
          <w:rFonts w:asciiTheme="minorHAnsi" w:eastAsiaTheme="minorHAnsi" w:hAnsiTheme="minorHAnsi" w:cstheme="minorBidi"/>
          <w:b/>
          <w:bCs/>
          <w:kern w:val="2"/>
          <w:lang w:val="fr-FR" w:eastAsia="en-US"/>
          <w14:ligatures w14:val="standardContextual"/>
        </w:rPr>
        <w:t>critères de Bradford Hill</w:t>
      </w:r>
      <w:r w:rsidRPr="00C842C9">
        <w:rPr>
          <w:rFonts w:asciiTheme="minorHAnsi" w:eastAsiaTheme="minorHAnsi" w:hAnsiTheme="minorHAnsi" w:cstheme="minorBidi"/>
          <w:kern w:val="2"/>
          <w:lang w:val="fr-FR" w:eastAsia="en-US"/>
          <w14:ligatures w14:val="standardContextual"/>
        </w:rPr>
        <w:t> pour juger du lien entre AAP et troubles sexuels :</w:t>
      </w:r>
    </w:p>
    <w:p w14:paraId="25D1074A" w14:textId="77777777" w:rsidR="0015607F" w:rsidRPr="00C842C9" w:rsidRDefault="0015607F" w:rsidP="0015607F">
      <w:pPr>
        <w:pStyle w:val="NormalWeb"/>
        <w:numPr>
          <w:ilvl w:val="0"/>
          <w:numId w:val="9"/>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Force de l’association</w:t>
      </w:r>
      <w:r w:rsidRPr="00C842C9">
        <w:rPr>
          <w:rFonts w:asciiTheme="minorHAnsi" w:eastAsiaTheme="minorHAnsi" w:hAnsiTheme="minorHAnsi" w:cstheme="minorBidi"/>
          <w:kern w:val="2"/>
          <w:lang w:val="fr-FR" w:eastAsia="en-US"/>
          <w14:ligatures w14:val="standardContextual"/>
        </w:rPr>
        <w:t> (rapports disproportionnés pour certains AAP).</w:t>
      </w:r>
    </w:p>
    <w:p w14:paraId="5F116D56" w14:textId="77777777" w:rsidR="0015607F" w:rsidRPr="00C842C9" w:rsidRDefault="0015607F" w:rsidP="0015607F">
      <w:pPr>
        <w:pStyle w:val="NormalWeb"/>
        <w:numPr>
          <w:ilvl w:val="0"/>
          <w:numId w:val="9"/>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Cohérence</w:t>
      </w:r>
      <w:r w:rsidRPr="00C842C9">
        <w:rPr>
          <w:rFonts w:asciiTheme="minorHAnsi" w:eastAsiaTheme="minorHAnsi" w:hAnsiTheme="minorHAnsi" w:cstheme="minorBidi"/>
          <w:kern w:val="2"/>
          <w:lang w:val="fr-FR" w:eastAsia="en-US"/>
          <w14:ligatures w14:val="standardContextual"/>
        </w:rPr>
        <w:t> (données similaires dans d’autres études).</w:t>
      </w:r>
    </w:p>
    <w:p w14:paraId="3A9C52B6" w14:textId="77777777" w:rsidR="0015607F" w:rsidRPr="00C842C9" w:rsidRDefault="0015607F" w:rsidP="0015607F">
      <w:pPr>
        <w:pStyle w:val="NormalWeb"/>
        <w:numPr>
          <w:ilvl w:val="0"/>
          <w:numId w:val="9"/>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Spécificité</w:t>
      </w:r>
      <w:r w:rsidRPr="00C842C9">
        <w:rPr>
          <w:rFonts w:asciiTheme="minorHAnsi" w:eastAsiaTheme="minorHAnsi" w:hAnsiTheme="minorHAnsi" w:cstheme="minorBidi"/>
          <w:kern w:val="2"/>
          <w:lang w:val="fr-FR" w:eastAsia="en-US"/>
          <w14:ligatures w14:val="standardContextual"/>
        </w:rPr>
        <w:t> (certains AAP plus impliqués).</w:t>
      </w:r>
    </w:p>
    <w:p w14:paraId="1A1DDB20" w14:textId="77777777" w:rsidR="0015607F" w:rsidRPr="00C842C9" w:rsidRDefault="0015607F" w:rsidP="0015607F">
      <w:pPr>
        <w:pStyle w:val="NormalWeb"/>
        <w:numPr>
          <w:ilvl w:val="0"/>
          <w:numId w:val="9"/>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Plausibilité biologique</w:t>
      </w:r>
      <w:r w:rsidRPr="00C842C9">
        <w:rPr>
          <w:rFonts w:asciiTheme="minorHAnsi" w:eastAsiaTheme="minorHAnsi" w:hAnsiTheme="minorHAnsi" w:cstheme="minorBidi"/>
          <w:kern w:val="2"/>
          <w:lang w:val="fr-FR" w:eastAsia="en-US"/>
          <w14:ligatures w14:val="standardContextual"/>
        </w:rPr>
        <w:t> (mécanismes récepteurs connus).</w:t>
      </w:r>
    </w:p>
    <w:p w14:paraId="066C0749" w14:textId="77777777" w:rsidR="0015607F" w:rsidRPr="00C842C9" w:rsidRDefault="0015607F" w:rsidP="0015607F">
      <w:pPr>
        <w:pStyle w:val="NormalWeb"/>
        <w:numPr>
          <w:ilvl w:val="0"/>
          <w:numId w:val="9"/>
        </w:numPr>
        <w:spacing w:before="0" w:beforeAutospacing="0" w:after="0" w:afterAutospacing="0"/>
        <w:rPr>
          <w:rFonts w:asciiTheme="minorHAnsi" w:eastAsiaTheme="minorHAnsi" w:hAnsiTheme="minorHAnsi" w:cstheme="minorBidi"/>
          <w:kern w:val="2"/>
          <w:lang w:val="fr-FR" w:eastAsia="en-US"/>
          <w14:ligatures w14:val="standardContextual"/>
        </w:rPr>
      </w:pPr>
      <w:r w:rsidRPr="00C842C9">
        <w:rPr>
          <w:rFonts w:asciiTheme="minorHAnsi" w:eastAsiaTheme="minorHAnsi" w:hAnsiTheme="minorHAnsi" w:cstheme="minorBidi"/>
          <w:b/>
          <w:bCs/>
          <w:kern w:val="2"/>
          <w:lang w:val="fr-FR" w:eastAsia="en-US"/>
          <w14:ligatures w14:val="standardContextual"/>
        </w:rPr>
        <w:t>Relation temporelle</w:t>
      </w:r>
      <w:r w:rsidRPr="00C842C9">
        <w:rPr>
          <w:rFonts w:asciiTheme="minorHAnsi" w:eastAsiaTheme="minorHAnsi" w:hAnsiTheme="minorHAnsi" w:cstheme="minorBidi"/>
          <w:kern w:val="2"/>
          <w:lang w:val="fr-FR" w:eastAsia="en-US"/>
          <w14:ligatures w14:val="standardContextual"/>
        </w:rPr>
        <w:t> (EI après prise du médicament).</w:t>
      </w:r>
    </w:p>
    <w:p w14:paraId="38F3A20B" w14:textId="77777777" w:rsidR="00952332" w:rsidRPr="00C842C9" w:rsidRDefault="00952332" w:rsidP="00952332"/>
    <w:p w14:paraId="624A79CE" w14:textId="29080F58" w:rsidR="0015607F" w:rsidRPr="00C842C9" w:rsidRDefault="0015607F" w:rsidP="0015607F">
      <w:pPr>
        <w:pStyle w:val="Titre2"/>
        <w:rPr>
          <w:b/>
          <w:bCs/>
          <w:color w:val="auto"/>
        </w:rPr>
      </w:pPr>
      <w:r w:rsidRPr="00C842C9">
        <w:rPr>
          <w:b/>
          <w:bCs/>
          <w:color w:val="auto"/>
        </w:rPr>
        <w:t>Résultats :</w:t>
      </w:r>
    </w:p>
    <w:p w14:paraId="5194DED7" w14:textId="4A17B9E4" w:rsidR="0015607F" w:rsidRPr="00C842C9" w:rsidRDefault="0015607F" w:rsidP="0015607F">
      <w:pPr>
        <w:rPr>
          <w:rFonts w:eastAsiaTheme="majorEastAsia" w:cstheme="majorBidi"/>
          <w:b/>
          <w:bCs/>
          <w:sz w:val="28"/>
          <w:szCs w:val="28"/>
        </w:rPr>
      </w:pPr>
      <w:r w:rsidRPr="00C842C9">
        <w:rPr>
          <w:rFonts w:eastAsiaTheme="majorEastAsia" w:cstheme="majorBidi"/>
          <w:b/>
          <w:bCs/>
          <w:sz w:val="28"/>
          <w:szCs w:val="28"/>
        </w:rPr>
        <w:t>1. Analyse descriptive</w:t>
      </w:r>
    </w:p>
    <w:p w14:paraId="5735BB3E" w14:textId="77777777" w:rsidR="0015607F" w:rsidRPr="00C842C9" w:rsidRDefault="0015607F" w:rsidP="0015607F">
      <w:r w:rsidRPr="00C842C9">
        <w:rPr>
          <w:b/>
          <w:bCs/>
          <w:i/>
          <w:iCs/>
          <w:u w:val="single"/>
        </w:rPr>
        <w:t>Échantillon</w:t>
      </w:r>
      <w:r w:rsidRPr="00C842C9">
        <w:t xml:space="preserve"> : 4 839 rapports d’effets indésirables (EI) impliquant 12 antipsychotiques atypiques (AAP).</w:t>
      </w:r>
    </w:p>
    <w:p w14:paraId="435D0AE5" w14:textId="77777777" w:rsidR="0015607F" w:rsidRPr="00C842C9" w:rsidRDefault="0015607F" w:rsidP="0015607F">
      <w:pPr>
        <w:rPr>
          <w:b/>
          <w:bCs/>
          <w:i/>
          <w:iCs/>
          <w:u w:val="single"/>
        </w:rPr>
      </w:pPr>
      <w:r w:rsidRPr="00C842C9">
        <w:rPr>
          <w:b/>
          <w:bCs/>
          <w:i/>
          <w:iCs/>
          <w:u w:val="single"/>
        </w:rPr>
        <w:t>AAP les plus signalés :</w:t>
      </w:r>
    </w:p>
    <w:p w14:paraId="6377D712" w14:textId="77777777" w:rsidR="0015607F" w:rsidRPr="00C842C9" w:rsidRDefault="0015607F" w:rsidP="0015607F">
      <w:pPr>
        <w:pStyle w:val="Paragraphedeliste"/>
        <w:numPr>
          <w:ilvl w:val="0"/>
          <w:numId w:val="10"/>
        </w:numPr>
      </w:pPr>
      <w:proofErr w:type="spellStart"/>
      <w:r w:rsidRPr="00C842C9">
        <w:t>Aripiprazole</w:t>
      </w:r>
      <w:proofErr w:type="spellEnd"/>
      <w:r w:rsidRPr="00C842C9">
        <w:t xml:space="preserve"> (33,7 %),</w:t>
      </w:r>
    </w:p>
    <w:p w14:paraId="0782AC41" w14:textId="77777777" w:rsidR="0015607F" w:rsidRPr="00C842C9" w:rsidRDefault="0015607F" w:rsidP="0015607F">
      <w:pPr>
        <w:pStyle w:val="Paragraphedeliste"/>
        <w:numPr>
          <w:ilvl w:val="0"/>
          <w:numId w:val="10"/>
        </w:numPr>
      </w:pPr>
      <w:proofErr w:type="spellStart"/>
      <w:r w:rsidRPr="00C842C9">
        <w:t>Rispéridone</w:t>
      </w:r>
      <w:proofErr w:type="spellEnd"/>
      <w:r w:rsidRPr="00C842C9">
        <w:t xml:space="preserve"> (17,2 %),</w:t>
      </w:r>
    </w:p>
    <w:p w14:paraId="3B16DD81" w14:textId="77777777" w:rsidR="0015607F" w:rsidRPr="00C842C9" w:rsidRDefault="0015607F" w:rsidP="0015607F">
      <w:pPr>
        <w:pStyle w:val="Paragraphedeliste"/>
        <w:numPr>
          <w:ilvl w:val="0"/>
          <w:numId w:val="10"/>
        </w:numPr>
      </w:pPr>
      <w:proofErr w:type="spellStart"/>
      <w:r w:rsidRPr="00C842C9">
        <w:t>Quétiapine</w:t>
      </w:r>
      <w:proofErr w:type="spellEnd"/>
      <w:r w:rsidRPr="00C842C9">
        <w:t xml:space="preserve"> (16,9 %).</w:t>
      </w:r>
    </w:p>
    <w:p w14:paraId="773C77ED" w14:textId="77777777" w:rsidR="0015607F" w:rsidRPr="00C842C9" w:rsidRDefault="0015607F" w:rsidP="0015607F">
      <w:r w:rsidRPr="00C842C9">
        <w:rPr>
          <w:b/>
          <w:bCs/>
          <w:i/>
          <w:iCs/>
          <w:u w:val="single"/>
        </w:rPr>
        <w:t>Âge moyen</w:t>
      </w:r>
      <w:r w:rsidRPr="00C842C9">
        <w:t xml:space="preserve"> : 35,1 ans (écart-type : 13,4).</w:t>
      </w:r>
    </w:p>
    <w:p w14:paraId="65D1A5AC" w14:textId="77777777" w:rsidR="0015607F" w:rsidRPr="00C842C9" w:rsidRDefault="0015607F" w:rsidP="0015607F">
      <w:pPr>
        <w:rPr>
          <w:b/>
          <w:bCs/>
          <w:i/>
          <w:iCs/>
          <w:u w:val="single"/>
        </w:rPr>
      </w:pPr>
      <w:r w:rsidRPr="00C842C9">
        <w:rPr>
          <w:b/>
          <w:bCs/>
          <w:i/>
          <w:iCs/>
          <w:u w:val="single"/>
        </w:rPr>
        <w:t>Profil des patients avec dysfonction sexuelle (SD) :</w:t>
      </w:r>
    </w:p>
    <w:p w14:paraId="36CDAAF3" w14:textId="77777777" w:rsidR="0015607F" w:rsidRPr="00C842C9" w:rsidRDefault="0015607F" w:rsidP="0015607F">
      <w:pPr>
        <w:pStyle w:val="Paragraphedeliste"/>
        <w:numPr>
          <w:ilvl w:val="0"/>
          <w:numId w:val="11"/>
        </w:numPr>
      </w:pPr>
      <w:r w:rsidRPr="00C842C9">
        <w:t>Majoritairement jeunes (52,9 % &lt; 35 ans) et hommes (67,2 %).</w:t>
      </w:r>
    </w:p>
    <w:p w14:paraId="0B240299" w14:textId="77777777" w:rsidR="0015607F" w:rsidRPr="00C842C9" w:rsidRDefault="0015607F" w:rsidP="0015607F">
      <w:pPr>
        <w:pStyle w:val="Paragraphedeliste"/>
        <w:numPr>
          <w:ilvl w:val="0"/>
          <w:numId w:val="11"/>
        </w:numPr>
      </w:pPr>
      <w:r w:rsidRPr="00C842C9">
        <w:t>Principales indications : schizophrénie et troubles bipolaires.</w:t>
      </w:r>
    </w:p>
    <w:p w14:paraId="7F8464A5" w14:textId="77777777" w:rsidR="0015607F" w:rsidRPr="00C842C9" w:rsidRDefault="0015607F" w:rsidP="0015607F">
      <w:pPr>
        <w:rPr>
          <w:b/>
          <w:bCs/>
          <w:i/>
          <w:iCs/>
          <w:u w:val="single"/>
        </w:rPr>
      </w:pPr>
      <w:r w:rsidRPr="00C842C9">
        <w:rPr>
          <w:b/>
          <w:bCs/>
          <w:i/>
          <w:iCs/>
          <w:u w:val="single"/>
        </w:rPr>
        <w:t>Origine des rapports :</w:t>
      </w:r>
    </w:p>
    <w:p w14:paraId="15160F92" w14:textId="77777777" w:rsidR="0015607F" w:rsidRPr="00C842C9" w:rsidRDefault="0015607F" w:rsidP="0015607F">
      <w:pPr>
        <w:pStyle w:val="Paragraphedeliste"/>
        <w:numPr>
          <w:ilvl w:val="0"/>
          <w:numId w:val="12"/>
        </w:numPr>
      </w:pPr>
      <w:r w:rsidRPr="00C842C9">
        <w:t>50 % provenaient des États-Unis.</w:t>
      </w:r>
    </w:p>
    <w:p w14:paraId="0A6010A9" w14:textId="77777777" w:rsidR="0015607F" w:rsidRPr="00C842C9" w:rsidRDefault="0015607F" w:rsidP="0015607F">
      <w:r w:rsidRPr="00C842C9">
        <w:rPr>
          <w:b/>
          <w:bCs/>
          <w:i/>
          <w:iCs/>
          <w:u w:val="single"/>
        </w:rPr>
        <w:t>Évolution temporelle</w:t>
      </w:r>
      <w:r w:rsidRPr="00C842C9">
        <w:t xml:space="preserve"> : Augmentation des signalements tous les 5 ans (404 en 2004-2008 → 1 951 en 2019-2023).</w:t>
      </w:r>
    </w:p>
    <w:p w14:paraId="76E7307A" w14:textId="77777777" w:rsidR="0015607F" w:rsidRPr="00C842C9" w:rsidRDefault="0015607F" w:rsidP="0015607F">
      <w:pPr>
        <w:rPr>
          <w:rFonts w:eastAsiaTheme="majorEastAsia" w:cstheme="majorBidi"/>
          <w:b/>
          <w:bCs/>
          <w:sz w:val="28"/>
          <w:szCs w:val="28"/>
        </w:rPr>
      </w:pPr>
      <w:r w:rsidRPr="00C842C9">
        <w:rPr>
          <w:rFonts w:eastAsiaTheme="majorEastAsia" w:cstheme="majorBidi"/>
          <w:b/>
          <w:bCs/>
          <w:sz w:val="28"/>
          <w:szCs w:val="28"/>
        </w:rPr>
        <w:t xml:space="preserve">2. Analyse de </w:t>
      </w:r>
      <w:proofErr w:type="spellStart"/>
      <w:r w:rsidRPr="00C842C9">
        <w:rPr>
          <w:rFonts w:eastAsiaTheme="majorEastAsia" w:cstheme="majorBidi"/>
          <w:b/>
          <w:bCs/>
          <w:sz w:val="28"/>
          <w:szCs w:val="28"/>
        </w:rPr>
        <w:t>disproportionnalité</w:t>
      </w:r>
      <w:proofErr w:type="spellEnd"/>
    </w:p>
    <w:p w14:paraId="1E3BBCCC" w14:textId="77777777" w:rsidR="0015607F" w:rsidRPr="00C842C9" w:rsidRDefault="0015607F" w:rsidP="0015607F"/>
    <w:p w14:paraId="74C696FA" w14:textId="77777777" w:rsidR="0015607F" w:rsidRPr="00C842C9" w:rsidRDefault="0015607F" w:rsidP="0015607F">
      <w:r w:rsidRPr="00C842C9">
        <w:rPr>
          <w:b/>
          <w:bCs/>
          <w:i/>
          <w:iCs/>
          <w:u w:val="single"/>
        </w:rPr>
        <w:t>Association significative</w:t>
      </w:r>
      <w:r w:rsidRPr="00C842C9">
        <w:t xml:space="preserve"> entre les 12 AAP et la SD, avec des profils distincts :</w:t>
      </w:r>
    </w:p>
    <w:p w14:paraId="019AEFDB" w14:textId="77777777" w:rsidR="0015607F" w:rsidRPr="00C842C9" w:rsidRDefault="0015607F" w:rsidP="0015607F">
      <w:pPr>
        <w:pStyle w:val="Paragraphedeliste"/>
        <w:numPr>
          <w:ilvl w:val="0"/>
          <w:numId w:val="12"/>
        </w:numPr>
      </w:pPr>
      <w:proofErr w:type="spellStart"/>
      <w:r w:rsidRPr="00C842C9">
        <w:lastRenderedPageBreak/>
        <w:t>Aripiprazole</w:t>
      </w:r>
      <w:proofErr w:type="spellEnd"/>
      <w:r w:rsidRPr="00C842C9">
        <w:t xml:space="preserve"> : Spectre le plus large (25 effets signalés), notamment comportement sexuel compulsif (ROR = 533,02).</w:t>
      </w:r>
    </w:p>
    <w:p w14:paraId="2FF061C7" w14:textId="77777777" w:rsidR="0015607F" w:rsidRPr="00C842C9" w:rsidRDefault="0015607F" w:rsidP="0015607F">
      <w:pPr>
        <w:pStyle w:val="Paragraphedeliste"/>
        <w:numPr>
          <w:ilvl w:val="0"/>
          <w:numId w:val="12"/>
        </w:numPr>
      </w:pPr>
      <w:proofErr w:type="spellStart"/>
      <w:r w:rsidRPr="00C842C9">
        <w:t>Ilopéridone</w:t>
      </w:r>
      <w:proofErr w:type="spellEnd"/>
      <w:r w:rsidRPr="00C842C9">
        <w:t xml:space="preserve"> : Effet marqué pour l’éjaculation rétrograde (ROR = 832,09), mais exclue en raison d’un faible nombre de rapports (N = 845).</w:t>
      </w:r>
    </w:p>
    <w:p w14:paraId="33E3D222" w14:textId="77777777" w:rsidR="0015607F" w:rsidRPr="00C842C9" w:rsidRDefault="0015607F" w:rsidP="0015607F">
      <w:pPr>
        <w:pStyle w:val="Paragraphedeliste"/>
        <w:numPr>
          <w:ilvl w:val="0"/>
          <w:numId w:val="12"/>
        </w:numPr>
      </w:pPr>
      <w:r w:rsidRPr="00C842C9">
        <w:t>Autres AAP :</w:t>
      </w:r>
    </w:p>
    <w:p w14:paraId="4601223A" w14:textId="77777777" w:rsidR="0015607F" w:rsidRPr="00C842C9" w:rsidRDefault="0015607F" w:rsidP="0015607F">
      <w:pPr>
        <w:pStyle w:val="Paragraphedeliste"/>
        <w:numPr>
          <w:ilvl w:val="1"/>
          <w:numId w:val="12"/>
        </w:numPr>
      </w:pPr>
      <w:proofErr w:type="spellStart"/>
      <w:r w:rsidRPr="00C842C9">
        <w:t>Paliperidone</w:t>
      </w:r>
      <w:proofErr w:type="spellEnd"/>
      <w:r w:rsidRPr="00C842C9">
        <w:t xml:space="preserve"> : </w:t>
      </w:r>
      <w:proofErr w:type="spellStart"/>
      <w:r w:rsidRPr="00C842C9">
        <w:t>Hypossexualité</w:t>
      </w:r>
      <w:proofErr w:type="spellEnd"/>
      <w:r w:rsidRPr="00C842C9">
        <w:t xml:space="preserve"> (ROR = 6,35) et troubles de l’éjaculation (ROR = 10,99).</w:t>
      </w:r>
    </w:p>
    <w:p w14:paraId="348AF249" w14:textId="77777777" w:rsidR="0015607F" w:rsidRPr="00C842C9" w:rsidRDefault="0015607F" w:rsidP="0015607F">
      <w:pPr>
        <w:pStyle w:val="Paragraphedeliste"/>
        <w:numPr>
          <w:ilvl w:val="1"/>
          <w:numId w:val="12"/>
        </w:numPr>
      </w:pPr>
      <w:proofErr w:type="spellStart"/>
      <w:r w:rsidRPr="00C842C9">
        <w:t>Ziprasidone</w:t>
      </w:r>
      <w:proofErr w:type="spellEnd"/>
      <w:r w:rsidRPr="00C842C9">
        <w:t xml:space="preserve"> : Dysfonction érectile (ROR = 7,69).</w:t>
      </w:r>
    </w:p>
    <w:p w14:paraId="517DA945" w14:textId="77777777" w:rsidR="0015607F" w:rsidRPr="00C842C9" w:rsidRDefault="0015607F" w:rsidP="0015607F">
      <w:r w:rsidRPr="00C842C9">
        <w:rPr>
          <w:b/>
          <w:bCs/>
          <w:i/>
          <w:iCs/>
          <w:u w:val="single"/>
        </w:rPr>
        <w:t>Impact de l’avertissement de la FDA</w:t>
      </w:r>
      <w:r w:rsidRPr="00C842C9">
        <w:t xml:space="preserve"> : Augmentation des signalements pour certains AAP (ex. : </w:t>
      </w:r>
      <w:proofErr w:type="spellStart"/>
      <w:r w:rsidRPr="00C842C9">
        <w:t>aripiprazole</w:t>
      </w:r>
      <w:proofErr w:type="spellEnd"/>
      <w:r w:rsidRPr="00C842C9">
        <w:t xml:space="preserve">, </w:t>
      </w:r>
      <w:proofErr w:type="spellStart"/>
      <w:r w:rsidRPr="00C842C9">
        <w:t>cariprazine</w:t>
      </w:r>
      <w:proofErr w:type="spellEnd"/>
      <w:r w:rsidRPr="00C842C9">
        <w:t>), suggérant un possible biais de notoriété.</w:t>
      </w:r>
    </w:p>
    <w:p w14:paraId="3B9DDD4A" w14:textId="37A013B5" w:rsidR="0015607F" w:rsidRPr="00C842C9" w:rsidRDefault="0015607F" w:rsidP="0015607F">
      <w:pPr>
        <w:rPr>
          <w:rFonts w:eastAsiaTheme="majorEastAsia" w:cstheme="majorBidi"/>
          <w:b/>
          <w:bCs/>
          <w:sz w:val="28"/>
          <w:szCs w:val="28"/>
        </w:rPr>
      </w:pPr>
      <w:r w:rsidRPr="00C842C9">
        <w:rPr>
          <w:rFonts w:eastAsiaTheme="majorEastAsia" w:cstheme="majorBidi"/>
          <w:b/>
          <w:bCs/>
          <w:sz w:val="28"/>
          <w:szCs w:val="28"/>
        </w:rPr>
        <w:t>3. Analyse pharmacologique (occupation des récepteurs)</w:t>
      </w:r>
    </w:p>
    <w:p w14:paraId="323F4364" w14:textId="77777777" w:rsidR="0015607F" w:rsidRPr="00C842C9" w:rsidRDefault="0015607F" w:rsidP="0015607F">
      <w:pPr>
        <w:rPr>
          <w:b/>
          <w:bCs/>
          <w:i/>
          <w:iCs/>
          <w:u w:val="single"/>
        </w:rPr>
      </w:pPr>
      <w:r w:rsidRPr="00C842C9">
        <w:rPr>
          <w:b/>
          <w:bCs/>
          <w:i/>
          <w:iCs/>
          <w:u w:val="single"/>
        </w:rPr>
        <w:t>Corrélations significatives :</w:t>
      </w:r>
    </w:p>
    <w:p w14:paraId="40090F32" w14:textId="77777777" w:rsidR="0015607F" w:rsidRPr="00C842C9" w:rsidRDefault="0015607F" w:rsidP="0015607F">
      <w:pPr>
        <w:pStyle w:val="Paragraphedeliste"/>
        <w:numPr>
          <w:ilvl w:val="0"/>
          <w:numId w:val="13"/>
        </w:numPr>
      </w:pPr>
      <w:r w:rsidRPr="00C842C9">
        <w:t>Récepteurs D2 (β = 4,516 ; p = 0,014) et D3 (β = 3,330 ; p = 0,037) → Association positive avec la SD.</w:t>
      </w:r>
    </w:p>
    <w:p w14:paraId="3698D006" w14:textId="77777777" w:rsidR="0015607F" w:rsidRPr="00C842C9" w:rsidRDefault="0015607F" w:rsidP="0015607F">
      <w:pPr>
        <w:pStyle w:val="Paragraphedeliste"/>
        <w:numPr>
          <w:ilvl w:val="0"/>
          <w:numId w:val="13"/>
        </w:numPr>
      </w:pPr>
      <w:r w:rsidRPr="00C842C9">
        <w:t>Récepteur muscarinique (β = -4,112 ; p = 0,042) → Effet protecteur possible.</w:t>
      </w:r>
    </w:p>
    <w:p w14:paraId="1F714E5F" w14:textId="77777777" w:rsidR="0015607F" w:rsidRPr="00C842C9" w:rsidRDefault="0015607F" w:rsidP="0015607F">
      <w:pPr>
        <w:pStyle w:val="Paragraphedeliste"/>
        <w:numPr>
          <w:ilvl w:val="0"/>
          <w:numId w:val="13"/>
        </w:numPr>
      </w:pPr>
      <w:r w:rsidRPr="00C842C9">
        <w:t>5-HT1A (analyse de sensibilité) : Seul récepteur restant significatif (β = 2,847 ; p = 0,026).</w:t>
      </w:r>
    </w:p>
    <w:p w14:paraId="008DF836" w14:textId="411EC76F" w:rsidR="0015607F" w:rsidRPr="00C842C9" w:rsidRDefault="0015607F" w:rsidP="0015607F">
      <w:pPr>
        <w:rPr>
          <w:rFonts w:eastAsiaTheme="majorEastAsia" w:cstheme="majorBidi"/>
          <w:b/>
          <w:bCs/>
          <w:sz w:val="28"/>
          <w:szCs w:val="28"/>
        </w:rPr>
      </w:pPr>
      <w:r w:rsidRPr="00C842C9">
        <w:rPr>
          <w:rFonts w:eastAsiaTheme="majorEastAsia" w:cstheme="majorBidi"/>
          <w:b/>
          <w:bCs/>
          <w:sz w:val="28"/>
          <w:szCs w:val="28"/>
        </w:rPr>
        <w:t>4. Critères de Bradford Hill</w:t>
      </w:r>
    </w:p>
    <w:p w14:paraId="6177CF3C" w14:textId="77777777" w:rsidR="0015607F" w:rsidRPr="00C842C9" w:rsidRDefault="0015607F" w:rsidP="0015607F">
      <w:r w:rsidRPr="00C842C9">
        <w:rPr>
          <w:b/>
          <w:bCs/>
          <w:i/>
          <w:iCs/>
          <w:u w:val="single"/>
        </w:rPr>
        <w:t>Association causale probable</w:t>
      </w:r>
      <w:r w:rsidRPr="00C842C9">
        <w:t xml:space="preserve"> entre AAP et SD, soutenue par :</w:t>
      </w:r>
    </w:p>
    <w:p w14:paraId="4C5623AA" w14:textId="77777777" w:rsidR="0015607F" w:rsidRPr="00C842C9" w:rsidRDefault="0015607F" w:rsidP="0015607F">
      <w:pPr>
        <w:pStyle w:val="Paragraphedeliste"/>
        <w:numPr>
          <w:ilvl w:val="0"/>
          <w:numId w:val="14"/>
        </w:numPr>
      </w:pPr>
      <w:r w:rsidRPr="00C842C9">
        <w:t>Force de l’association,</w:t>
      </w:r>
    </w:p>
    <w:p w14:paraId="1FA30128" w14:textId="77777777" w:rsidR="0015607F" w:rsidRPr="00C842C9" w:rsidRDefault="0015607F" w:rsidP="0015607F">
      <w:pPr>
        <w:pStyle w:val="Paragraphedeliste"/>
        <w:numPr>
          <w:ilvl w:val="0"/>
          <w:numId w:val="14"/>
        </w:numPr>
      </w:pPr>
      <w:r w:rsidRPr="00C842C9">
        <w:t>Plausibilité biologique (rôle des récepteurs dopaminergiques/sérotoninergiques),</w:t>
      </w:r>
    </w:p>
    <w:p w14:paraId="4B70318C" w14:textId="77777777" w:rsidR="0015607F" w:rsidRPr="00C842C9" w:rsidRDefault="0015607F" w:rsidP="0015607F">
      <w:pPr>
        <w:pStyle w:val="Paragraphedeliste"/>
        <w:numPr>
          <w:ilvl w:val="0"/>
          <w:numId w:val="14"/>
        </w:numPr>
      </w:pPr>
      <w:r w:rsidRPr="00C842C9">
        <w:t>Cohérence avec la littérature.</w:t>
      </w:r>
    </w:p>
    <w:p w14:paraId="2A29B5C8" w14:textId="77777777" w:rsidR="0015607F" w:rsidRPr="00C842C9" w:rsidRDefault="0015607F" w:rsidP="0015607F">
      <w:r w:rsidRPr="00C842C9">
        <w:rPr>
          <w:b/>
          <w:bCs/>
          <w:i/>
          <w:iCs/>
          <w:u w:val="single"/>
        </w:rPr>
        <w:t>Limites</w:t>
      </w:r>
      <w:r w:rsidRPr="00C842C9">
        <w:t xml:space="preserve"> :</w:t>
      </w:r>
    </w:p>
    <w:p w14:paraId="1D2F7F0B" w14:textId="77777777" w:rsidR="0015607F" w:rsidRPr="00C842C9" w:rsidRDefault="0015607F" w:rsidP="0015607F">
      <w:r w:rsidRPr="00C842C9">
        <w:t>Temporalité non établie (manque de données),</w:t>
      </w:r>
    </w:p>
    <w:p w14:paraId="3D2D0593" w14:textId="136AC97A" w:rsidR="0015607F" w:rsidRPr="00C842C9" w:rsidRDefault="0015607F" w:rsidP="008F22F0">
      <w:r w:rsidRPr="00C842C9">
        <w:t>Spécificité et gradient biologique non confirmés.</w:t>
      </w:r>
    </w:p>
    <w:p w14:paraId="06C27FDD" w14:textId="020D299C" w:rsidR="00952332" w:rsidRPr="00C842C9" w:rsidRDefault="0015607F" w:rsidP="00952332">
      <w:pPr>
        <w:rPr>
          <w:rFonts w:asciiTheme="majorHAnsi" w:eastAsiaTheme="majorEastAsia" w:hAnsiTheme="majorHAnsi" w:cstheme="majorBidi"/>
          <w:b/>
          <w:bCs/>
          <w:sz w:val="32"/>
          <w:szCs w:val="32"/>
        </w:rPr>
      </w:pPr>
      <w:r w:rsidRPr="00C842C9">
        <w:rPr>
          <w:rFonts w:asciiTheme="majorHAnsi" w:eastAsiaTheme="majorEastAsia" w:hAnsiTheme="majorHAnsi" w:cstheme="majorBidi"/>
          <w:b/>
          <w:bCs/>
          <w:sz w:val="32"/>
          <w:szCs w:val="32"/>
        </w:rPr>
        <w:t xml:space="preserve"> Discussion :</w:t>
      </w:r>
    </w:p>
    <w:p w14:paraId="462A10DB" w14:textId="77777777" w:rsidR="0015607F" w:rsidRPr="00C842C9" w:rsidRDefault="0015607F" w:rsidP="0015607F">
      <w:r w:rsidRPr="00C842C9">
        <w:t>Cette étude est la première à analyser les liens entre antipsychotiques atypiques (AAP) et dysfonctions sexuelles (SD) via la base FAERS (pharmacovigilance). Les SD sous AAP sont fréquentes mais sous-évaluées en clinique. L’analyse révèle :</w:t>
      </w:r>
    </w:p>
    <w:p w14:paraId="56D57687" w14:textId="77777777" w:rsidR="0015607F" w:rsidRPr="00C842C9" w:rsidRDefault="0015607F" w:rsidP="0015607F"/>
    <w:p w14:paraId="5630F222" w14:textId="77777777" w:rsidR="0015607F" w:rsidRPr="00C842C9" w:rsidRDefault="0015607F" w:rsidP="008F22F0">
      <w:pPr>
        <w:pStyle w:val="Paragraphedeliste"/>
        <w:numPr>
          <w:ilvl w:val="0"/>
          <w:numId w:val="15"/>
        </w:numPr>
      </w:pPr>
      <w:proofErr w:type="spellStart"/>
      <w:r w:rsidRPr="00C842C9">
        <w:rPr>
          <w:b/>
          <w:bCs/>
        </w:rPr>
        <w:t>Aripiprazole</w:t>
      </w:r>
      <w:proofErr w:type="spellEnd"/>
      <w:r w:rsidRPr="00C842C9">
        <w:t xml:space="preserve"> : Contrairement aux idées reçues, associé à un signal fort d’hypersexualité (comportements compulsifs, libido accrue), confirmant des cas antérieurs.</w:t>
      </w:r>
    </w:p>
    <w:p w14:paraId="2EC5DB11" w14:textId="77777777" w:rsidR="0015607F" w:rsidRPr="00C842C9" w:rsidRDefault="0015607F" w:rsidP="008F22F0">
      <w:pPr>
        <w:pStyle w:val="Paragraphedeliste"/>
        <w:numPr>
          <w:ilvl w:val="0"/>
          <w:numId w:val="15"/>
        </w:numPr>
      </w:pPr>
      <w:proofErr w:type="spellStart"/>
      <w:r w:rsidRPr="00C842C9">
        <w:rPr>
          <w:b/>
          <w:bCs/>
        </w:rPr>
        <w:lastRenderedPageBreak/>
        <w:t>Palipéridone</w:t>
      </w:r>
      <w:proofErr w:type="spellEnd"/>
      <w:r w:rsidRPr="00C842C9">
        <w:t xml:space="preserve"> : Liée à </w:t>
      </w:r>
      <w:proofErr w:type="spellStart"/>
      <w:r w:rsidRPr="00C842C9">
        <w:t>hyposexualité</w:t>
      </w:r>
      <w:proofErr w:type="spellEnd"/>
      <w:r w:rsidRPr="00C842C9">
        <w:t>, dysfonction érectile et troubles éjaculatoires, bien que les données soient contradictoires.</w:t>
      </w:r>
    </w:p>
    <w:p w14:paraId="7771F769" w14:textId="77777777" w:rsidR="0015607F" w:rsidRPr="00C842C9" w:rsidRDefault="0015607F" w:rsidP="008F22F0">
      <w:pPr>
        <w:pStyle w:val="Paragraphedeliste"/>
        <w:numPr>
          <w:ilvl w:val="0"/>
          <w:numId w:val="15"/>
        </w:numPr>
      </w:pPr>
      <w:proofErr w:type="spellStart"/>
      <w:r w:rsidRPr="00C842C9">
        <w:rPr>
          <w:b/>
          <w:bCs/>
        </w:rPr>
        <w:t>Ilopéridone</w:t>
      </w:r>
      <w:proofErr w:type="spellEnd"/>
      <w:r w:rsidRPr="00C842C9">
        <w:t xml:space="preserve"> : Rare mais associé à priapisme et éjaculation rétrograde (mécanisme </w:t>
      </w:r>
      <w:proofErr w:type="spellStart"/>
      <w:r w:rsidRPr="00C842C9">
        <w:t>multirécepteur</w:t>
      </w:r>
      <w:proofErr w:type="spellEnd"/>
      <w:r w:rsidRPr="00C842C9">
        <w:t xml:space="preserve"> : alpha-adrénergique, dopaminergique, </w:t>
      </w:r>
      <w:proofErr w:type="spellStart"/>
      <w:r w:rsidRPr="00C842C9">
        <w:t>histaminergique</w:t>
      </w:r>
      <w:proofErr w:type="spellEnd"/>
      <w:r w:rsidRPr="00C842C9">
        <w:t>).</w:t>
      </w:r>
    </w:p>
    <w:p w14:paraId="6AFB1D83" w14:textId="62A471DF" w:rsidR="0015607F" w:rsidRPr="00C842C9" w:rsidRDefault="0015607F" w:rsidP="008F22F0">
      <w:pPr>
        <w:rPr>
          <w:b/>
          <w:bCs/>
          <w:i/>
          <w:iCs/>
          <w:u w:val="single"/>
        </w:rPr>
      </w:pPr>
      <w:r w:rsidRPr="00C842C9">
        <w:rPr>
          <w:b/>
          <w:bCs/>
          <w:i/>
          <w:iCs/>
          <w:u w:val="single"/>
        </w:rPr>
        <w:t>Mécanismes pharmacodynamiques :</w:t>
      </w:r>
    </w:p>
    <w:p w14:paraId="3EA82B2B" w14:textId="77777777" w:rsidR="0015607F" w:rsidRPr="00C842C9" w:rsidRDefault="0015607F" w:rsidP="0015607F">
      <w:r w:rsidRPr="00C842C9">
        <w:t>L’affinité aux récepteurs D2, D3, 5-HT1A et muscariniques influence les SD.</w:t>
      </w:r>
    </w:p>
    <w:p w14:paraId="548CDEC5" w14:textId="77777777" w:rsidR="0015607F" w:rsidRPr="00C842C9" w:rsidRDefault="0015607F" w:rsidP="0015607F">
      <w:r w:rsidRPr="00C842C9">
        <w:t>La dopamine (via D2/D3) et la sérotonine (5-HT1A) jouent un rôle clé, avec des effets opposés selon les molécules (ex. : anti-dopaminergiques → baisse de libido ; agonistes partiels → hypersexualité).</w:t>
      </w:r>
    </w:p>
    <w:p w14:paraId="3B4B16B7" w14:textId="77777777" w:rsidR="0015607F" w:rsidRPr="00C842C9" w:rsidRDefault="0015607F" w:rsidP="0015607F">
      <w:r w:rsidRPr="00C842C9">
        <w:t>Les effets anticholinergiques et alpha-adrénergiques perturbent la fonction sexuelle (vasodilatation, excitation).</w:t>
      </w:r>
    </w:p>
    <w:p w14:paraId="58DB2046" w14:textId="031184B6" w:rsidR="0015607F" w:rsidRPr="00C842C9" w:rsidRDefault="0015607F" w:rsidP="008F22F0">
      <w:pPr>
        <w:rPr>
          <w:b/>
          <w:bCs/>
          <w:i/>
          <w:iCs/>
          <w:u w:val="single"/>
        </w:rPr>
      </w:pPr>
      <w:r w:rsidRPr="00C842C9">
        <w:rPr>
          <w:b/>
          <w:bCs/>
          <w:i/>
          <w:iCs/>
          <w:u w:val="single"/>
        </w:rPr>
        <w:t>Limitations :</w:t>
      </w:r>
    </w:p>
    <w:p w14:paraId="6971F578" w14:textId="77777777" w:rsidR="0015607F" w:rsidRPr="00C842C9" w:rsidRDefault="0015607F" w:rsidP="0015607F">
      <w:r w:rsidRPr="00C842C9">
        <w:t>Données FAERS : déclarations spontanées (sous/</w:t>
      </w:r>
      <w:proofErr w:type="spellStart"/>
      <w:r w:rsidRPr="00C842C9">
        <w:t>surdéclaration</w:t>
      </w:r>
      <w:proofErr w:type="spellEnd"/>
      <w:r w:rsidRPr="00C842C9">
        <w:t>, biais).</w:t>
      </w:r>
    </w:p>
    <w:p w14:paraId="74E7C02C" w14:textId="52EEA5CC" w:rsidR="0015607F" w:rsidRPr="00C842C9" w:rsidRDefault="0015607F" w:rsidP="008F22F0">
      <w:r w:rsidRPr="00C842C9">
        <w:t>Facteurs confondants non contrôlés (comorbidités, traitements concomitants).</w:t>
      </w:r>
    </w:p>
    <w:p w14:paraId="79C33A46" w14:textId="7433DD84" w:rsidR="0015607F" w:rsidRPr="00C842C9" w:rsidRDefault="0015607F" w:rsidP="008F22F0">
      <w:pPr>
        <w:rPr>
          <w:b/>
          <w:bCs/>
          <w:i/>
          <w:iCs/>
          <w:u w:val="single"/>
        </w:rPr>
      </w:pPr>
      <w:r w:rsidRPr="00C842C9">
        <w:rPr>
          <w:b/>
          <w:bCs/>
          <w:i/>
          <w:iCs/>
          <w:u w:val="single"/>
        </w:rPr>
        <w:t>Points clés à retenir :</w:t>
      </w:r>
    </w:p>
    <w:p w14:paraId="519F8AFC" w14:textId="77777777" w:rsidR="0015607F" w:rsidRPr="00C842C9" w:rsidRDefault="0015607F" w:rsidP="008F22F0">
      <w:pPr>
        <w:pStyle w:val="Paragraphedeliste"/>
        <w:numPr>
          <w:ilvl w:val="0"/>
          <w:numId w:val="16"/>
        </w:numPr>
      </w:pPr>
      <w:proofErr w:type="spellStart"/>
      <w:r w:rsidRPr="00C842C9">
        <w:rPr>
          <w:b/>
          <w:bCs/>
        </w:rPr>
        <w:t>Aripiprazole</w:t>
      </w:r>
      <w:proofErr w:type="spellEnd"/>
      <w:r w:rsidRPr="00C842C9">
        <w:t xml:space="preserve"> → Risque d’hypersexualité (agoniste partiel D2).</w:t>
      </w:r>
    </w:p>
    <w:p w14:paraId="70A3D39D" w14:textId="77777777" w:rsidR="0015607F" w:rsidRPr="00C842C9" w:rsidRDefault="0015607F" w:rsidP="008F22F0">
      <w:pPr>
        <w:pStyle w:val="Paragraphedeliste"/>
        <w:numPr>
          <w:ilvl w:val="0"/>
          <w:numId w:val="16"/>
        </w:numPr>
      </w:pPr>
      <w:proofErr w:type="spellStart"/>
      <w:r w:rsidRPr="00C842C9">
        <w:rPr>
          <w:b/>
          <w:bCs/>
        </w:rPr>
        <w:t>Palipéridone</w:t>
      </w:r>
      <w:proofErr w:type="spellEnd"/>
      <w:r w:rsidRPr="00C842C9">
        <w:t xml:space="preserve"> → Risque d’</w:t>
      </w:r>
      <w:proofErr w:type="spellStart"/>
      <w:r w:rsidRPr="00C842C9">
        <w:t>hyposexualité</w:t>
      </w:r>
      <w:proofErr w:type="spellEnd"/>
      <w:r w:rsidRPr="00C842C9">
        <w:t>/dysfonction érectile.</w:t>
      </w:r>
    </w:p>
    <w:p w14:paraId="57FA27B8" w14:textId="77777777" w:rsidR="0015607F" w:rsidRPr="00C842C9" w:rsidRDefault="0015607F" w:rsidP="008F22F0">
      <w:pPr>
        <w:pStyle w:val="Paragraphedeliste"/>
        <w:numPr>
          <w:ilvl w:val="0"/>
          <w:numId w:val="16"/>
        </w:numPr>
      </w:pPr>
      <w:proofErr w:type="spellStart"/>
      <w:r w:rsidRPr="00C842C9">
        <w:rPr>
          <w:b/>
          <w:bCs/>
        </w:rPr>
        <w:t>Ilopéridone</w:t>
      </w:r>
      <w:proofErr w:type="spellEnd"/>
      <w:r w:rsidRPr="00C842C9">
        <w:t xml:space="preserve"> → Priapisme (blocage alpha-adrénergique).</w:t>
      </w:r>
    </w:p>
    <w:p w14:paraId="487ECB16" w14:textId="02BFFC14" w:rsidR="008F22F0" w:rsidRPr="00C842C9" w:rsidRDefault="008F22F0" w:rsidP="008F22F0">
      <w:r w:rsidRPr="00C842C9">
        <w:t>Une évaluation systématique de la santé sexuelle avant/après traitement est cruciale. En cas de SD, des stratégies adaptées (changement de molécule, traitement des symptômes) doivent être proposées.</w:t>
      </w:r>
    </w:p>
    <w:p w14:paraId="37FEE1F0" w14:textId="2A3CB337" w:rsidR="00952332" w:rsidRPr="00C842C9" w:rsidRDefault="008F22F0" w:rsidP="00952332">
      <w:pPr>
        <w:rPr>
          <w:rFonts w:asciiTheme="majorHAnsi" w:eastAsiaTheme="majorEastAsia" w:hAnsiTheme="majorHAnsi" w:cstheme="majorBidi"/>
          <w:b/>
          <w:bCs/>
          <w:sz w:val="32"/>
          <w:szCs w:val="32"/>
        </w:rPr>
      </w:pPr>
      <w:r w:rsidRPr="00C842C9">
        <w:rPr>
          <w:rFonts w:asciiTheme="majorHAnsi" w:eastAsiaTheme="majorEastAsia" w:hAnsiTheme="majorHAnsi" w:cstheme="majorBidi"/>
          <w:b/>
          <w:bCs/>
          <w:sz w:val="32"/>
          <w:szCs w:val="32"/>
        </w:rPr>
        <w:t>Conclusion :</w:t>
      </w:r>
    </w:p>
    <w:p w14:paraId="7462A30E" w14:textId="379DBEE5" w:rsidR="00952332" w:rsidRDefault="008F22F0" w:rsidP="008F22F0">
      <w:r w:rsidRPr="008F22F0">
        <w:t>L'étude détecte un signal de dysfonctions sexuelles (DS) avec les antipsychotiques de 2</w:t>
      </w:r>
      <w:r w:rsidRPr="008F22F0">
        <w:rPr>
          <w:rFonts w:ascii="Arial" w:hAnsi="Arial" w:cs="Arial"/>
        </w:rPr>
        <w:t>ᵉ</w:t>
      </w:r>
      <w:r w:rsidRPr="008F22F0">
        <w:t xml:space="preserve"> génération (</w:t>
      </w:r>
      <w:proofErr w:type="spellStart"/>
      <w:r w:rsidRPr="008F22F0">
        <w:t>AAPs</w:t>
      </w:r>
      <w:proofErr w:type="spellEnd"/>
      <w:r w:rsidRPr="008F22F0">
        <w:t>), possiblement lié aux récepteurs D2/D3/5-HT1A (non confirmé après analyses). Les cliniciens doivent surveiller ces effets pour prévenir l'arrêt du traitement. Validation requise par des études prospectives.</w:t>
      </w:r>
    </w:p>
    <w:p w14:paraId="661B7200" w14:textId="25691C6A" w:rsidR="00952332" w:rsidRDefault="00952332" w:rsidP="00952332">
      <w:pPr>
        <w:jc w:val="right"/>
      </w:pPr>
      <w:r>
        <w:t xml:space="preserve">Dr </w:t>
      </w:r>
      <w:proofErr w:type="spellStart"/>
      <w:r>
        <w:t>Issam</w:t>
      </w:r>
      <w:proofErr w:type="spellEnd"/>
      <w:r>
        <w:t xml:space="preserve"> </w:t>
      </w:r>
      <w:proofErr w:type="spellStart"/>
      <w:r>
        <w:t>Outaik</w:t>
      </w:r>
      <w:proofErr w:type="spellEnd"/>
    </w:p>
    <w:p w14:paraId="45F15107" w14:textId="77777777" w:rsidR="00952332" w:rsidRDefault="00952332" w:rsidP="00952332">
      <w:pPr>
        <w:jc w:val="right"/>
      </w:pPr>
      <w:r>
        <w:t>CHU Souss-Massa Agadir</w:t>
      </w:r>
    </w:p>
    <w:p w14:paraId="0EF422B6" w14:textId="75C6C5E2" w:rsidR="00952332" w:rsidRPr="00952332" w:rsidRDefault="00952332" w:rsidP="00952332">
      <w:pPr>
        <w:jc w:val="right"/>
      </w:pPr>
      <w:r>
        <w:t>Mars 2025</w:t>
      </w:r>
    </w:p>
    <w:sectPr w:rsidR="00952332" w:rsidRPr="00952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D94"/>
    <w:multiLevelType w:val="hybridMultilevel"/>
    <w:tmpl w:val="64ACA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84A24"/>
    <w:multiLevelType w:val="hybridMultilevel"/>
    <w:tmpl w:val="3CFE5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E18BE"/>
    <w:multiLevelType w:val="hybridMultilevel"/>
    <w:tmpl w:val="EA488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74E1E"/>
    <w:multiLevelType w:val="hybridMultilevel"/>
    <w:tmpl w:val="15245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C0CFA"/>
    <w:multiLevelType w:val="hybridMultilevel"/>
    <w:tmpl w:val="F0209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F3325"/>
    <w:multiLevelType w:val="hybridMultilevel"/>
    <w:tmpl w:val="9D228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63AF0"/>
    <w:multiLevelType w:val="hybridMultilevel"/>
    <w:tmpl w:val="7DA0F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95055"/>
    <w:multiLevelType w:val="multilevel"/>
    <w:tmpl w:val="027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C248F"/>
    <w:multiLevelType w:val="hybridMultilevel"/>
    <w:tmpl w:val="9334C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A8158D"/>
    <w:multiLevelType w:val="hybridMultilevel"/>
    <w:tmpl w:val="F49A3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46F23"/>
    <w:multiLevelType w:val="hybridMultilevel"/>
    <w:tmpl w:val="D74E6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84ADB"/>
    <w:multiLevelType w:val="multilevel"/>
    <w:tmpl w:val="E2A44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C3462"/>
    <w:multiLevelType w:val="multilevel"/>
    <w:tmpl w:val="802C8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F50B5"/>
    <w:multiLevelType w:val="hybridMultilevel"/>
    <w:tmpl w:val="D9CE6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635A86"/>
    <w:multiLevelType w:val="hybridMultilevel"/>
    <w:tmpl w:val="03A07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D4425F"/>
    <w:multiLevelType w:val="hybridMultilevel"/>
    <w:tmpl w:val="F260E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13"/>
  </w:num>
  <w:num w:numId="5">
    <w:abstractNumId w:val="10"/>
  </w:num>
  <w:num w:numId="6">
    <w:abstractNumId w:val="14"/>
  </w:num>
  <w:num w:numId="7">
    <w:abstractNumId w:val="11"/>
  </w:num>
  <w:num w:numId="8">
    <w:abstractNumId w:val="12"/>
  </w:num>
  <w:num w:numId="9">
    <w:abstractNumId w:val="7"/>
  </w:num>
  <w:num w:numId="10">
    <w:abstractNumId w:val="6"/>
  </w:num>
  <w:num w:numId="11">
    <w:abstractNumId w:val="9"/>
  </w:num>
  <w:num w:numId="12">
    <w:abstractNumId w:val="8"/>
  </w:num>
  <w:num w:numId="13">
    <w:abstractNumId w:val="1"/>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32"/>
    <w:rsid w:val="0015607F"/>
    <w:rsid w:val="003509CD"/>
    <w:rsid w:val="00450CF7"/>
    <w:rsid w:val="00554BF3"/>
    <w:rsid w:val="00897F32"/>
    <w:rsid w:val="008F22F0"/>
    <w:rsid w:val="00936D88"/>
    <w:rsid w:val="00952332"/>
    <w:rsid w:val="00B42A85"/>
    <w:rsid w:val="00C842C9"/>
    <w:rsid w:val="00EE655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73B9"/>
  <w15:chartTrackingRefBased/>
  <w15:docId w15:val="{9FBDD5CB-DC70-E24F-892C-BD89CDB0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952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52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523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23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23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23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23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23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23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233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rsid w:val="0095233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rsid w:val="0095233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95233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95233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95233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95233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95233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952332"/>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952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233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9523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233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952332"/>
    <w:pPr>
      <w:spacing w:before="160"/>
      <w:jc w:val="center"/>
    </w:pPr>
    <w:rPr>
      <w:i/>
      <w:iCs/>
      <w:color w:val="404040" w:themeColor="text1" w:themeTint="BF"/>
    </w:rPr>
  </w:style>
  <w:style w:type="character" w:customStyle="1" w:styleId="CitationCar">
    <w:name w:val="Citation Car"/>
    <w:basedOn w:val="Policepardfaut"/>
    <w:link w:val="Citation"/>
    <w:uiPriority w:val="29"/>
    <w:rsid w:val="00952332"/>
    <w:rPr>
      <w:i/>
      <w:iCs/>
      <w:color w:val="404040" w:themeColor="text1" w:themeTint="BF"/>
      <w:lang w:val="fr-FR"/>
    </w:rPr>
  </w:style>
  <w:style w:type="paragraph" w:styleId="Paragraphedeliste">
    <w:name w:val="List Paragraph"/>
    <w:basedOn w:val="Normal"/>
    <w:uiPriority w:val="34"/>
    <w:qFormat/>
    <w:rsid w:val="00952332"/>
    <w:pPr>
      <w:ind w:left="720"/>
      <w:contextualSpacing/>
    </w:pPr>
  </w:style>
  <w:style w:type="character" w:styleId="Emphaseintense">
    <w:name w:val="Intense Emphasis"/>
    <w:basedOn w:val="Policepardfaut"/>
    <w:uiPriority w:val="21"/>
    <w:qFormat/>
    <w:rsid w:val="00952332"/>
    <w:rPr>
      <w:i/>
      <w:iCs/>
      <w:color w:val="0F4761" w:themeColor="accent1" w:themeShade="BF"/>
    </w:rPr>
  </w:style>
  <w:style w:type="paragraph" w:styleId="Citationintense">
    <w:name w:val="Intense Quote"/>
    <w:basedOn w:val="Normal"/>
    <w:next w:val="Normal"/>
    <w:link w:val="CitationintenseCar"/>
    <w:uiPriority w:val="30"/>
    <w:qFormat/>
    <w:rsid w:val="00952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2332"/>
    <w:rPr>
      <w:i/>
      <w:iCs/>
      <w:color w:val="0F4761" w:themeColor="accent1" w:themeShade="BF"/>
      <w:lang w:val="fr-FR"/>
    </w:rPr>
  </w:style>
  <w:style w:type="character" w:styleId="Rfrenceintense">
    <w:name w:val="Intense Reference"/>
    <w:basedOn w:val="Policepardfaut"/>
    <w:uiPriority w:val="32"/>
    <w:qFormat/>
    <w:rsid w:val="00952332"/>
    <w:rPr>
      <w:b/>
      <w:bCs/>
      <w:smallCaps/>
      <w:color w:val="0F4761" w:themeColor="accent1" w:themeShade="BF"/>
      <w:spacing w:val="5"/>
    </w:rPr>
  </w:style>
  <w:style w:type="character" w:styleId="lev">
    <w:name w:val="Strong"/>
    <w:basedOn w:val="Policepardfaut"/>
    <w:uiPriority w:val="22"/>
    <w:qFormat/>
    <w:rsid w:val="0015607F"/>
    <w:rPr>
      <w:b/>
      <w:bCs/>
    </w:rPr>
  </w:style>
  <w:style w:type="paragraph" w:styleId="NormalWeb">
    <w:name w:val="Normal (Web)"/>
    <w:basedOn w:val="Normal"/>
    <w:uiPriority w:val="99"/>
    <w:unhideWhenUsed/>
    <w:rsid w:val="0015607F"/>
    <w:pPr>
      <w:spacing w:before="100" w:beforeAutospacing="1" w:after="100" w:afterAutospacing="1" w:line="240" w:lineRule="auto"/>
    </w:pPr>
    <w:rPr>
      <w:rFonts w:ascii="Times New Roman" w:eastAsia="Times New Roman" w:hAnsi="Times New Roman" w:cs="Times New Roman"/>
      <w:kern w:val="0"/>
      <w:lang w:val="fr-MA" w:eastAsia="fr-FR"/>
      <w14:ligatures w14:val="none"/>
    </w:rPr>
  </w:style>
  <w:style w:type="character" w:customStyle="1" w:styleId="apple-converted-space">
    <w:name w:val="apple-converted-space"/>
    <w:basedOn w:val="Policepardfaut"/>
    <w:rsid w:val="0015607F"/>
  </w:style>
  <w:style w:type="character" w:styleId="Accentuation">
    <w:name w:val="Emphasis"/>
    <w:basedOn w:val="Policepardfaut"/>
    <w:uiPriority w:val="20"/>
    <w:qFormat/>
    <w:rsid w:val="00156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1249">
      <w:bodyDiv w:val="1"/>
      <w:marLeft w:val="0"/>
      <w:marRight w:val="0"/>
      <w:marTop w:val="0"/>
      <w:marBottom w:val="0"/>
      <w:divBdr>
        <w:top w:val="none" w:sz="0" w:space="0" w:color="auto"/>
        <w:left w:val="none" w:sz="0" w:space="0" w:color="auto"/>
        <w:bottom w:val="none" w:sz="0" w:space="0" w:color="auto"/>
        <w:right w:val="none" w:sz="0" w:space="0" w:color="auto"/>
      </w:divBdr>
    </w:div>
    <w:div w:id="1121455959">
      <w:bodyDiv w:val="1"/>
      <w:marLeft w:val="0"/>
      <w:marRight w:val="0"/>
      <w:marTop w:val="0"/>
      <w:marBottom w:val="0"/>
      <w:divBdr>
        <w:top w:val="none" w:sz="0" w:space="0" w:color="auto"/>
        <w:left w:val="none" w:sz="0" w:space="0" w:color="auto"/>
        <w:bottom w:val="none" w:sz="0" w:space="0" w:color="auto"/>
        <w:right w:val="none" w:sz="0" w:space="0" w:color="auto"/>
      </w:divBdr>
    </w:div>
    <w:div w:id="16298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1223</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pc</cp:lastModifiedBy>
  <cp:revision>4</cp:revision>
  <dcterms:created xsi:type="dcterms:W3CDTF">2025-04-01T11:38:00Z</dcterms:created>
  <dcterms:modified xsi:type="dcterms:W3CDTF">2025-04-01T13:16:00Z</dcterms:modified>
</cp:coreProperties>
</file>