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EE29" w14:textId="3F4EC695" w:rsidR="00561353" w:rsidRDefault="00561353" w:rsidP="00561353">
      <w:pPr>
        <w:jc w:val="center"/>
        <w:rPr>
          <w:noProof/>
        </w:rPr>
      </w:pPr>
      <w:r w:rsidRPr="00561353">
        <w:rPr>
          <w:rFonts w:asciiTheme="majorBidi" w:hAnsiTheme="majorBidi" w:cstheme="majorBidi"/>
          <w:noProof/>
          <w:color w:val="FF0000"/>
          <w:sz w:val="32"/>
          <w:szCs w:val="32"/>
          <w:u w:val="single"/>
        </w:rPr>
        <w:t>Le neurofeedback comme traitement du TDAH : données probantes et pratiques actuelles</w:t>
      </w:r>
    </w:p>
    <w:p w14:paraId="06398098" w14:textId="77777777" w:rsidR="00561353" w:rsidRDefault="00561353"/>
    <w:p w14:paraId="0FBE4801" w14:textId="77777777" w:rsidR="00561353" w:rsidRDefault="00561353"/>
    <w:p w14:paraId="6A53DBF8" w14:textId="028F135C" w:rsidR="00561353" w:rsidRDefault="00440995">
      <w:r w:rsidRPr="00440995">
        <w:rPr>
          <w:noProof/>
        </w:rPr>
        <w:drawing>
          <wp:inline distT="0" distB="0" distL="0" distR="0" wp14:anchorId="69B9054D" wp14:editId="33B1194A">
            <wp:extent cx="5731510" cy="548640"/>
            <wp:effectExtent l="0" t="0" r="2540" b="3810"/>
            <wp:docPr id="19088555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EEFEB" w14:textId="77777777" w:rsidR="00561353" w:rsidRDefault="00561353"/>
    <w:p w14:paraId="6284904C" w14:textId="07C29013" w:rsidR="00561353" w:rsidRPr="00440995" w:rsidRDefault="00561353" w:rsidP="00440995">
      <w:pP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44099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Introduction :</w:t>
      </w:r>
    </w:p>
    <w:p w14:paraId="2335A1C5" w14:textId="77777777" w:rsidR="00A96CF1" w:rsidRPr="00440995" w:rsidRDefault="008B7DFE" w:rsidP="00A96CF1">
      <w:r w:rsidRPr="00440995">
        <w:t xml:space="preserve">Le </w:t>
      </w:r>
      <w:r w:rsidRPr="00440995">
        <w:rPr>
          <w:rStyle w:val="lev"/>
        </w:rPr>
        <w:t>TDAH (trouble du déficit de l’attention avec hyperactivité)</w:t>
      </w:r>
      <w:r w:rsidRPr="00440995">
        <w:t xml:space="preserve"> est un trouble neurodéveloppemental complexe, généralement traité par </w:t>
      </w:r>
      <w:r w:rsidRPr="00440995">
        <w:rPr>
          <w:rStyle w:val="lev"/>
        </w:rPr>
        <w:t>une pharmacothérapie</w:t>
      </w:r>
      <w:r w:rsidRPr="00440995">
        <w:t xml:space="preserve"> (ex. méthylphénidate, amphétamines) en association avec une </w:t>
      </w:r>
      <w:r w:rsidRPr="00440995">
        <w:rPr>
          <w:rStyle w:val="lev"/>
        </w:rPr>
        <w:t>thérapie comportementale</w:t>
      </w:r>
      <w:r w:rsidRPr="00440995">
        <w:t xml:space="preserve">. Toutefois, ces approches présentent des </w:t>
      </w:r>
      <w:r w:rsidRPr="00440995">
        <w:rPr>
          <w:rStyle w:val="lev"/>
        </w:rPr>
        <w:t>limites</w:t>
      </w:r>
      <w:r w:rsidRPr="00440995">
        <w:t xml:space="preserve">, notamment la diminution avec le temps de l’efficacité, les effets secondaires et le manque d’effets durables après l’arrêt du traitement. Face à ces défis, </w:t>
      </w:r>
      <w:r w:rsidRPr="00440995">
        <w:rPr>
          <w:rStyle w:val="lev"/>
        </w:rPr>
        <w:t>le neurofeedback</w:t>
      </w:r>
      <w:r w:rsidRPr="00440995">
        <w:t xml:space="preserve"> a émergé comme une alternative </w:t>
      </w:r>
      <w:r w:rsidRPr="00440995">
        <w:rPr>
          <w:rStyle w:val="lev"/>
        </w:rPr>
        <w:t>non médicamenteuse et non invasive</w:t>
      </w:r>
      <w:r w:rsidRPr="00440995">
        <w:t xml:space="preserve">, visant à </w:t>
      </w:r>
      <w:r w:rsidRPr="00440995">
        <w:rPr>
          <w:rStyle w:val="lev"/>
        </w:rPr>
        <w:t>réguler l’activité cérébrale</w:t>
      </w:r>
      <w:r w:rsidRPr="00440995">
        <w:t xml:space="preserve"> grâce à un </w:t>
      </w:r>
      <w:r w:rsidRPr="00440995">
        <w:rPr>
          <w:rStyle w:val="lev"/>
        </w:rPr>
        <w:t>apprentissage basé sur le biofeedback</w:t>
      </w:r>
      <w:r w:rsidRPr="00440995">
        <w:t>. Cependant, la valeur clinique du neurofeedback est encore sujet de débat, avec des études rapportant des résultats contrastés surtout sur son efficacité.</w:t>
      </w:r>
    </w:p>
    <w:p w14:paraId="7AA8BA69" w14:textId="39C2AD70" w:rsidR="00A96CF1" w:rsidRPr="00440995" w:rsidRDefault="00A96CF1" w:rsidP="00440995">
      <w:pPr>
        <w:rPr>
          <w:color w:val="FF0000"/>
          <w:sz w:val="20"/>
          <w:szCs w:val="20"/>
          <w:u w:val="single"/>
        </w:rPr>
      </w:pPr>
      <w:r w:rsidRPr="0044099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fr-FR"/>
          <w14:ligatures w14:val="none"/>
        </w:rPr>
        <w:t>Définition, historique et mécanisme d’action du neurofeedback :</w:t>
      </w:r>
    </w:p>
    <w:p w14:paraId="36044A74" w14:textId="4D0D136D" w:rsidR="00A96CF1" w:rsidRPr="00A96CF1" w:rsidRDefault="00A96CF1" w:rsidP="00A96CF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A96CF1">
        <w:rPr>
          <w:rFonts w:eastAsia="Times New Roman" w:cs="Times New Roman"/>
          <w:kern w:val="0"/>
          <w:lang w:eastAsia="fr-FR"/>
          <w14:ligatures w14:val="none"/>
        </w:rPr>
        <w:t xml:space="preserve">Le </w:t>
      </w:r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neurofeedback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 xml:space="preserve"> est une technique basée sur une </w:t>
      </w:r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interface cerveau-ordinateur (BCI)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 xml:space="preserve"> qui permet aux patients d’</w:t>
      </w:r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apprendre à réguler leur activité cérébrale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 xml:space="preserve"> en recevant un retour en temps réel. Il repose sur le </w:t>
      </w:r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conditionnement opérant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 xml:space="preserve">, où le cerveau est entraîné à </w:t>
      </w:r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modifier ses schémas d’activité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 xml:space="preserve"> pour améliorer l’attention et le contrôle des impulsions</w:t>
      </w:r>
    </w:p>
    <w:p w14:paraId="5DA904CD" w14:textId="62E3C118" w:rsidR="00A96CF1" w:rsidRPr="00A96CF1" w:rsidRDefault="00A96CF1" w:rsidP="00A96CF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A96CF1">
        <w:rPr>
          <w:rFonts w:eastAsia="Times New Roman" w:cs="Times New Roman"/>
          <w:kern w:val="0"/>
          <w:lang w:eastAsia="fr-FR"/>
          <w14:ligatures w14:val="none"/>
        </w:rPr>
        <w:t>Historiquement, les premières recherches en électroencéphalographie</w:t>
      </w:r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(EEG)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 xml:space="preserve"> dans les années 1930-1940 ont montré que l’</w:t>
      </w:r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activité cérébrale pouvait être modifiée volontairement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 xml:space="preserve">. Dans les années 1970, des études ont démontré que le </w:t>
      </w:r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neurofeedback sur le rythme sensori-moteur (SMR)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 xml:space="preserve"> pouvait </w:t>
      </w:r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réduire l’hyperactivité chez les enfants atteints de TDAH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>, posant ainsi les bases des protocoles actuels</w:t>
      </w:r>
      <w:r w:rsidR="00440995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0D80C4CE" w14:textId="77777777" w:rsidR="00A96CF1" w:rsidRDefault="00A96CF1" w:rsidP="00A96CF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A96CF1">
        <w:rPr>
          <w:rFonts w:eastAsia="Times New Roman" w:cs="Times New Roman"/>
          <w:kern w:val="0"/>
          <w:lang w:eastAsia="fr-FR"/>
          <w14:ligatures w14:val="none"/>
        </w:rPr>
        <w:t xml:space="preserve">Le mécanisme repose sur la </w:t>
      </w:r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neuroplasticité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 xml:space="preserve"> : grâce à un entraînement répété, le cerveau adopte un </w:t>
      </w:r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fonctionnement plus stable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 xml:space="preserve">. Le neurofeedback pourrait ainsi </w:t>
      </w:r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réduire l’hyperactivité, améliorer l’attention et favoriser l’autorégulation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>, bien que ses mécanismes précis nécessitent encore des recherches</w:t>
      </w:r>
      <w:r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3D8044BE" w14:textId="56F8BF2E" w:rsidR="00A96CF1" w:rsidRPr="00CB5BD2" w:rsidRDefault="00A96CF1" w:rsidP="00440995">
      <w:pPr>
        <w:pStyle w:val="Paragraphedeliste"/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</w:pPr>
      <w:r w:rsidRPr="00CB5BD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fr-FR"/>
          <w14:ligatures w14:val="none"/>
        </w:rPr>
        <w:t>Protocoles standards du neurofeedback pour le TDAH</w:t>
      </w:r>
      <w:r w:rsidR="00CB5BD2" w:rsidRPr="00CB5BD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fr-FR"/>
          <w14:ligatures w14:val="none"/>
        </w:rPr>
        <w:t> :</w:t>
      </w:r>
    </w:p>
    <w:p w14:paraId="7CDA080F" w14:textId="77777777" w:rsidR="00A96CF1" w:rsidRPr="00A96CF1" w:rsidRDefault="00A96CF1" w:rsidP="00CB5B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A96CF1">
        <w:rPr>
          <w:rFonts w:eastAsia="Times New Roman" w:cs="Times New Roman"/>
          <w:kern w:val="0"/>
          <w:lang w:eastAsia="fr-FR"/>
          <w14:ligatures w14:val="none"/>
        </w:rPr>
        <w:lastRenderedPageBreak/>
        <w:t xml:space="preserve">Trois principaux protocoles de neurofeedback sont actuellement utilisés dans le </w:t>
      </w:r>
      <w:proofErr w:type="gramStart"/>
      <w:r w:rsidRPr="00A96CF1">
        <w:rPr>
          <w:rFonts w:eastAsia="Times New Roman" w:cs="Times New Roman"/>
          <w:kern w:val="0"/>
          <w:lang w:eastAsia="fr-FR"/>
          <w14:ligatures w14:val="none"/>
        </w:rPr>
        <w:t>traitement</w:t>
      </w:r>
      <w:proofErr w:type="gramEnd"/>
      <w:r w:rsidRPr="00A96CF1">
        <w:rPr>
          <w:rFonts w:eastAsia="Times New Roman" w:cs="Times New Roman"/>
          <w:kern w:val="0"/>
          <w:lang w:eastAsia="fr-FR"/>
          <w14:ligatures w14:val="none"/>
        </w:rPr>
        <w:t xml:space="preserve"> du TDAH :</w:t>
      </w:r>
    </w:p>
    <w:p w14:paraId="53741BE3" w14:textId="77777777" w:rsidR="00A96CF1" w:rsidRPr="00A96CF1" w:rsidRDefault="00A96CF1" w:rsidP="00A96C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proofErr w:type="spellStart"/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Theta</w:t>
      </w:r>
      <w:proofErr w:type="spellEnd"/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/Beta Ratio (TBR)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 xml:space="preserve"> : vise à </w:t>
      </w:r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réduire l’activité thêta et augmenter l’activité bêta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 xml:space="preserve"> pour améliorer la concentration et l’attention.</w:t>
      </w:r>
    </w:p>
    <w:p w14:paraId="285EB7CC" w14:textId="77777777" w:rsidR="00A96CF1" w:rsidRPr="00A96CF1" w:rsidRDefault="00A96CF1" w:rsidP="00A96C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proofErr w:type="spellStart"/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Sensori-Motor</w:t>
      </w:r>
      <w:proofErr w:type="spellEnd"/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</w:t>
      </w:r>
      <w:proofErr w:type="spellStart"/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Rhythm</w:t>
      </w:r>
      <w:proofErr w:type="spellEnd"/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(SMR)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 xml:space="preserve"> : cible la </w:t>
      </w:r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régulation du rythme sensori-moteur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>, souvent associé à une amélioration du contrôle moteur et de l’impulsivité.</w:t>
      </w:r>
    </w:p>
    <w:p w14:paraId="54BDC8E7" w14:textId="77777777" w:rsidR="00A96CF1" w:rsidRPr="00A96CF1" w:rsidRDefault="00A96CF1" w:rsidP="00A96C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Slow Cortical </w:t>
      </w:r>
      <w:proofErr w:type="spellStart"/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Potential</w:t>
      </w:r>
      <w:proofErr w:type="spellEnd"/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(SCP)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 xml:space="preserve"> : entraîne le patient à </w:t>
      </w:r>
      <w:r w:rsidRPr="00A96CF1">
        <w:rPr>
          <w:rFonts w:eastAsia="Times New Roman" w:cs="Times New Roman"/>
          <w:b/>
          <w:bCs/>
          <w:kern w:val="0"/>
          <w:lang w:eastAsia="fr-FR"/>
          <w14:ligatures w14:val="none"/>
        </w:rPr>
        <w:t>auto-réguler les potentiels corticaux lents</w:t>
      </w:r>
      <w:r w:rsidRPr="00A96CF1">
        <w:rPr>
          <w:rFonts w:eastAsia="Times New Roman" w:cs="Times New Roman"/>
          <w:kern w:val="0"/>
          <w:lang w:eastAsia="fr-FR"/>
          <w14:ligatures w14:val="none"/>
        </w:rPr>
        <w:t>, impactant l’attention et la régulation des émotions.</w:t>
      </w:r>
    </w:p>
    <w:p w14:paraId="27AB0F15" w14:textId="241A16B6" w:rsidR="00561353" w:rsidRDefault="007D0F6D" w:rsidP="00CB5BD2">
      <w:pPr>
        <w:pStyle w:val="Paragraphedeliste"/>
        <w:ind w:left="0"/>
      </w:pPr>
      <w:r w:rsidRPr="007D0F6D">
        <w:t xml:space="preserve">Des études montrent que </w:t>
      </w:r>
      <w:r w:rsidRPr="007D0F6D">
        <w:rPr>
          <w:b/>
          <w:bCs/>
        </w:rPr>
        <w:t>30 à 40 séances de neurofeedback TBR</w:t>
      </w:r>
      <w:r w:rsidRPr="007D0F6D">
        <w:t xml:space="preserve"> peuvent être </w:t>
      </w:r>
      <w:r w:rsidRPr="007D0F6D">
        <w:rPr>
          <w:b/>
          <w:bCs/>
        </w:rPr>
        <w:t xml:space="preserve">aussi efficaces </w:t>
      </w:r>
      <w:r w:rsidRPr="007D0F6D">
        <w:t xml:space="preserve">que </w:t>
      </w:r>
      <w:r w:rsidRPr="007D0F6D">
        <w:rPr>
          <w:b/>
          <w:bCs/>
        </w:rPr>
        <w:t>le méthylphénidate</w:t>
      </w:r>
      <w:r w:rsidRPr="007D0F6D">
        <w:t xml:space="preserve"> pour </w:t>
      </w:r>
      <w:r w:rsidRPr="007D0F6D">
        <w:rPr>
          <w:b/>
          <w:bCs/>
        </w:rPr>
        <w:t>réduire</w:t>
      </w:r>
      <w:r w:rsidRPr="007D0F6D">
        <w:t xml:space="preserve"> les symptômes du TDAH et </w:t>
      </w:r>
      <w:r w:rsidRPr="007D0F6D">
        <w:rPr>
          <w:b/>
          <w:bCs/>
        </w:rPr>
        <w:t>améliorer</w:t>
      </w:r>
      <w:r w:rsidRPr="007D0F6D">
        <w:t xml:space="preserve"> les performances académiques. De plus, les recherches suggèrent que le neurofeedback</w:t>
      </w:r>
      <w:r w:rsidRPr="007D0F6D">
        <w:rPr>
          <w:b/>
          <w:bCs/>
        </w:rPr>
        <w:t xml:space="preserve"> SMR réduit </w:t>
      </w:r>
      <w:r w:rsidRPr="007D0F6D">
        <w:t>les symptômes</w:t>
      </w:r>
      <w:r w:rsidRPr="007D0F6D">
        <w:rPr>
          <w:b/>
          <w:bCs/>
        </w:rPr>
        <w:t xml:space="preserve"> </w:t>
      </w:r>
      <w:r w:rsidRPr="007D0F6D">
        <w:t>d’inattention et d’hyperactivité/impulsivité dans des proportions</w:t>
      </w:r>
      <w:r w:rsidRPr="007D0F6D">
        <w:rPr>
          <w:b/>
          <w:bCs/>
        </w:rPr>
        <w:t xml:space="preserve"> similaires au TBR</w:t>
      </w:r>
      <w:r w:rsidRPr="007D0F6D">
        <w:t xml:space="preserve">, avec un nombre </w:t>
      </w:r>
      <w:r w:rsidRPr="007D0F6D">
        <w:rPr>
          <w:b/>
          <w:bCs/>
        </w:rPr>
        <w:t xml:space="preserve">comparable </w:t>
      </w:r>
      <w:r w:rsidRPr="007D0F6D">
        <w:t>de séance.</w:t>
      </w:r>
    </w:p>
    <w:p w14:paraId="63C1E7D0" w14:textId="38EC6D4D" w:rsidR="007D0F6D" w:rsidRPr="00211928" w:rsidRDefault="007D0F6D" w:rsidP="00211928">
      <w:pP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21192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Efficacité du neurofeedback : état actuel des preuves :</w:t>
      </w:r>
    </w:p>
    <w:p w14:paraId="2067A52C" w14:textId="77777777" w:rsidR="007D0F6D" w:rsidRPr="007D0F6D" w:rsidRDefault="007D0F6D" w:rsidP="007D0F6D">
      <w:pPr>
        <w:pStyle w:val="Paragraphedeliste"/>
        <w:ind w:left="360"/>
        <w:rPr>
          <w:rFonts w:asciiTheme="majorBidi" w:hAnsiTheme="majorBidi" w:cstheme="majorBidi"/>
          <w:b/>
          <w:bCs/>
        </w:rPr>
      </w:pPr>
    </w:p>
    <w:p w14:paraId="20E6F4E6" w14:textId="2A2C3314" w:rsidR="007D0F6D" w:rsidRPr="007D0F6D" w:rsidRDefault="007D0F6D" w:rsidP="00CB5BD2">
      <w:pPr>
        <w:pStyle w:val="Paragraphedeliste"/>
        <w:ind w:left="0"/>
      </w:pPr>
      <w:r w:rsidRPr="007D0F6D">
        <w:t xml:space="preserve">Les </w:t>
      </w:r>
      <w:r w:rsidRPr="007D0F6D">
        <w:rPr>
          <w:b/>
          <w:bCs/>
        </w:rPr>
        <w:t>méta-analyses et essais cliniques randomisés</w:t>
      </w:r>
      <w:r w:rsidRPr="007D0F6D">
        <w:t xml:space="preserve"> indiquent que le neurofeedback basé sur des protocoles standards (TBR, SMR, SCP) est </w:t>
      </w:r>
      <w:r w:rsidRPr="007D0F6D">
        <w:rPr>
          <w:b/>
          <w:bCs/>
        </w:rPr>
        <w:t>efficace et</w:t>
      </w:r>
      <w:r>
        <w:rPr>
          <w:b/>
          <w:bCs/>
        </w:rPr>
        <w:t xml:space="preserve"> </w:t>
      </w:r>
      <w:r w:rsidRPr="007D0F6D">
        <w:rPr>
          <w:b/>
          <w:bCs/>
        </w:rPr>
        <w:t>spécifique</w:t>
      </w:r>
      <w:r w:rsidRPr="007D0F6D">
        <w:t xml:space="preserve"> dans le traitement du TDAH. Une étude a révélé que, </w:t>
      </w:r>
      <w:r w:rsidRPr="007D0F6D">
        <w:rPr>
          <w:b/>
          <w:bCs/>
        </w:rPr>
        <w:t xml:space="preserve">six mois </w:t>
      </w:r>
      <w:r w:rsidRPr="007D0F6D">
        <w:t>après le traitement, les effets du neurofeedback</w:t>
      </w:r>
      <w:r w:rsidRPr="007D0F6D">
        <w:rPr>
          <w:b/>
          <w:bCs/>
        </w:rPr>
        <w:t xml:space="preserve"> surpassaient </w:t>
      </w:r>
      <w:r w:rsidRPr="007D0F6D">
        <w:t xml:space="preserve">ceux des traitements </w:t>
      </w:r>
      <w:r w:rsidRPr="007D0F6D">
        <w:rPr>
          <w:b/>
          <w:bCs/>
        </w:rPr>
        <w:t xml:space="preserve">semi-actifs </w:t>
      </w:r>
      <w:r w:rsidRPr="007D0F6D">
        <w:t>(ex. entraînement cognitif)</w:t>
      </w:r>
      <w:r w:rsidRPr="007D0F6D">
        <w:rPr>
          <w:b/>
          <w:bCs/>
        </w:rPr>
        <w:t xml:space="preserve"> </w:t>
      </w:r>
      <w:r w:rsidRPr="007D0F6D">
        <w:t>et étaient</w:t>
      </w:r>
      <w:r w:rsidRPr="007D0F6D">
        <w:rPr>
          <w:b/>
          <w:bCs/>
        </w:rPr>
        <w:t xml:space="preserve"> comparables </w:t>
      </w:r>
      <w:r w:rsidRPr="007D0F6D">
        <w:t>à ceux des</w:t>
      </w:r>
      <w:r w:rsidRPr="007D0F6D">
        <w:rPr>
          <w:b/>
          <w:bCs/>
        </w:rPr>
        <w:t xml:space="preserve"> psychostimulants</w:t>
      </w:r>
      <w:r w:rsidRPr="007D0F6D">
        <w:t>.</w:t>
      </w:r>
    </w:p>
    <w:p w14:paraId="3C8630BC" w14:textId="77777777" w:rsidR="00CB5BD2" w:rsidRDefault="007D0F6D" w:rsidP="00CB5BD2">
      <w:pPr>
        <w:pStyle w:val="Paragraphedeliste"/>
        <w:ind w:left="0"/>
      </w:pPr>
      <w:r w:rsidRPr="007D0F6D">
        <w:t>De plus, alors que l’efficacité des médicaments</w:t>
      </w:r>
      <w:r w:rsidRPr="007D0F6D">
        <w:rPr>
          <w:b/>
          <w:bCs/>
        </w:rPr>
        <w:t xml:space="preserve"> tend à diminuer avec le temps</w:t>
      </w:r>
      <w:r w:rsidRPr="007D0F6D">
        <w:t xml:space="preserve">, les effets du neurofeedback semblent </w:t>
      </w:r>
      <w:r w:rsidRPr="007D0F6D">
        <w:rPr>
          <w:b/>
          <w:bCs/>
        </w:rPr>
        <w:t>se renforcer même après l’arrêt des séances</w:t>
      </w:r>
      <w:r w:rsidRPr="007D0F6D">
        <w:t xml:space="preserve">, suggérant un </w:t>
      </w:r>
      <w:r w:rsidRPr="007D0F6D">
        <w:rPr>
          <w:b/>
          <w:bCs/>
        </w:rPr>
        <w:t>apprentissage durable</w:t>
      </w:r>
      <w:r w:rsidRPr="007D0F6D">
        <w:t>. Cependant, certains chercheurs estiment que l'impact du neurofeedback pourrait être surestimé en raison d’effets placebo et d’un manque de protocoles normalisés</w:t>
      </w:r>
      <w:r w:rsidR="00CB5BD2">
        <w:t>.</w:t>
      </w:r>
    </w:p>
    <w:p w14:paraId="5926758C" w14:textId="77777777" w:rsidR="00CB5BD2" w:rsidRDefault="00CB5BD2" w:rsidP="00CB5BD2">
      <w:pPr>
        <w:pStyle w:val="Paragraphedeliste"/>
        <w:ind w:left="0"/>
      </w:pPr>
    </w:p>
    <w:p w14:paraId="264D5A8A" w14:textId="52E940D2" w:rsidR="00CB5BD2" w:rsidRPr="00211928" w:rsidRDefault="00CB5BD2" w:rsidP="00211928">
      <w:pPr>
        <w:rPr>
          <w:color w:val="FF0000"/>
          <w:sz w:val="20"/>
          <w:szCs w:val="20"/>
          <w:u w:val="single"/>
        </w:rPr>
      </w:pPr>
      <w:r w:rsidRPr="00211928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fr-FR"/>
          <w14:ligatures w14:val="none"/>
        </w:rPr>
        <w:t>Réglementation et encadrement du neurofeedback :</w:t>
      </w:r>
    </w:p>
    <w:p w14:paraId="00972B84" w14:textId="77777777" w:rsidR="00CB5BD2" w:rsidRPr="00CB5BD2" w:rsidRDefault="00CB5BD2" w:rsidP="00CB5B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CB5BD2">
        <w:rPr>
          <w:rFonts w:eastAsia="Times New Roman" w:cs="Times New Roman"/>
          <w:kern w:val="0"/>
          <w:lang w:eastAsia="fr-FR"/>
          <w14:ligatures w14:val="none"/>
        </w:rPr>
        <w:t xml:space="preserve">Malgré ses résultats prometteurs, le </w:t>
      </w: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>neurofeedback souffre d’un manque de régulation</w:t>
      </w:r>
      <w:r w:rsidRPr="00CB5BD2">
        <w:rPr>
          <w:rFonts w:eastAsia="Times New Roman" w:cs="Times New Roman"/>
          <w:kern w:val="0"/>
          <w:lang w:eastAsia="fr-FR"/>
          <w14:ligatures w14:val="none"/>
        </w:rPr>
        <w:t xml:space="preserve">. Il n’existe actuellement </w:t>
      </w: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>aucune norme universelle</w:t>
      </w:r>
      <w:r w:rsidRPr="00CB5BD2">
        <w:rPr>
          <w:rFonts w:eastAsia="Times New Roman" w:cs="Times New Roman"/>
          <w:kern w:val="0"/>
          <w:lang w:eastAsia="fr-FR"/>
          <w14:ligatures w14:val="none"/>
        </w:rPr>
        <w:t xml:space="preserve"> concernant :</w:t>
      </w:r>
    </w:p>
    <w:p w14:paraId="426D1017" w14:textId="77777777" w:rsidR="00CB5BD2" w:rsidRPr="00CB5BD2" w:rsidRDefault="00CB5BD2" w:rsidP="00CB5B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>La formation des praticiens</w:t>
      </w:r>
    </w:p>
    <w:p w14:paraId="6D0F117A" w14:textId="77777777" w:rsidR="00CB5BD2" w:rsidRPr="00CB5BD2" w:rsidRDefault="00CB5BD2" w:rsidP="00CB5B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>Les critères de certification</w:t>
      </w:r>
    </w:p>
    <w:p w14:paraId="761E79CA" w14:textId="77777777" w:rsidR="00CB5BD2" w:rsidRPr="00CB5BD2" w:rsidRDefault="00CB5BD2" w:rsidP="00CB5B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>L’homologation des dispositifs médicaux utilisés</w:t>
      </w:r>
    </w:p>
    <w:p w14:paraId="0A333FFC" w14:textId="4D0E31B0" w:rsidR="00CB5BD2" w:rsidRDefault="00CB5BD2" w:rsidP="00CB5B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CB5BD2">
        <w:rPr>
          <w:rFonts w:eastAsia="Times New Roman" w:cs="Times New Roman"/>
          <w:kern w:val="0"/>
          <w:lang w:eastAsia="fr-FR"/>
          <w14:ligatures w14:val="none"/>
        </w:rPr>
        <w:t xml:space="preserve">Cela a conduit à l’émergence de pratiques </w:t>
      </w: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>non validées scientifiquement</w:t>
      </w:r>
      <w:r w:rsidRPr="00CB5BD2">
        <w:rPr>
          <w:rFonts w:eastAsia="Times New Roman" w:cs="Times New Roman"/>
          <w:kern w:val="0"/>
          <w:lang w:eastAsia="fr-FR"/>
          <w14:ligatures w14:val="none"/>
        </w:rPr>
        <w:t xml:space="preserve">, parfois proposées par des personnes sans qualifications médicales. Les auteurs soulignent donc </w:t>
      </w: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>l’urgence de définir des standards internationaux</w:t>
      </w:r>
      <w:r w:rsidRPr="00CB5BD2">
        <w:rPr>
          <w:rFonts w:eastAsia="Times New Roman" w:cs="Times New Roman"/>
          <w:kern w:val="0"/>
          <w:lang w:eastAsia="fr-FR"/>
          <w14:ligatures w14:val="none"/>
        </w:rPr>
        <w:t xml:space="preserve"> pour garantir </w:t>
      </w: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>l’efficacité et la sécurité du neurofeedback</w:t>
      </w:r>
      <w:r w:rsidRPr="00CB5BD2">
        <w:rPr>
          <w:rFonts w:eastAsia="Times New Roman" w:cs="Times New Roman"/>
          <w:kern w:val="0"/>
          <w:lang w:eastAsia="fr-FR"/>
          <w14:ligatures w14:val="none"/>
        </w:rPr>
        <w:t xml:space="preserve"> dans un cadre clinique</w:t>
      </w:r>
      <w:r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53AB6F1F" w14:textId="7005F3A6" w:rsidR="00CB5BD2" w:rsidRPr="00211928" w:rsidRDefault="00CB5BD2" w:rsidP="0021192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z w:val="28"/>
          <w:szCs w:val="28"/>
          <w:u w:val="single"/>
          <w:lang w:eastAsia="fr-FR"/>
          <w14:ligatures w14:val="none"/>
        </w:rPr>
      </w:pPr>
      <w:r w:rsidRPr="00211928">
        <w:rPr>
          <w:rFonts w:asciiTheme="majorBidi" w:eastAsia="Times New Roman" w:hAnsiTheme="majorBidi" w:cstheme="majorBidi"/>
          <w:b/>
          <w:bCs/>
          <w:color w:val="FF0000"/>
          <w:kern w:val="0"/>
          <w:sz w:val="28"/>
          <w:szCs w:val="28"/>
          <w:u w:val="single"/>
          <w:lang w:eastAsia="fr-FR"/>
          <w14:ligatures w14:val="none"/>
        </w:rPr>
        <w:t>CONCLUSION :</w:t>
      </w:r>
    </w:p>
    <w:p w14:paraId="72D2C7D5" w14:textId="360C2C2C" w:rsidR="00CB5BD2" w:rsidRDefault="00CB5BD2" w:rsidP="00CB5B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CB5BD2">
        <w:rPr>
          <w:rFonts w:eastAsia="Times New Roman" w:cs="Times New Roman"/>
          <w:kern w:val="0"/>
          <w:lang w:eastAsia="fr-FR"/>
          <w14:ligatures w14:val="none"/>
        </w:rPr>
        <w:lastRenderedPageBreak/>
        <w:t>Le neurofeedback apparaît</w:t>
      </w: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Pr="00CB5BD2">
        <w:rPr>
          <w:rFonts w:eastAsia="Times New Roman" w:cs="Times New Roman"/>
          <w:kern w:val="0"/>
          <w:lang w:eastAsia="fr-FR"/>
          <w14:ligatures w14:val="none"/>
        </w:rPr>
        <w:t>comme</w:t>
      </w: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une alternative prometteuse</w:t>
      </w:r>
      <w:r w:rsidRPr="00CB5BD2">
        <w:rPr>
          <w:rFonts w:eastAsia="Times New Roman" w:cs="Times New Roman"/>
          <w:kern w:val="0"/>
          <w:lang w:eastAsia="fr-FR"/>
          <w14:ligatures w14:val="none"/>
        </w:rPr>
        <w:t xml:space="preserve"> aux traitements classiques du TDAH, offrant </w:t>
      </w: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une amélioration durable </w:t>
      </w:r>
      <w:r w:rsidRPr="00CB5BD2">
        <w:rPr>
          <w:rFonts w:eastAsia="Times New Roman" w:cs="Times New Roman"/>
          <w:kern w:val="0"/>
          <w:lang w:eastAsia="fr-FR"/>
          <w14:ligatures w14:val="none"/>
        </w:rPr>
        <w:t>des symptômes</w:t>
      </w: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sans </w:t>
      </w:r>
      <w:r w:rsidRPr="00CB5BD2">
        <w:rPr>
          <w:rFonts w:eastAsia="Times New Roman" w:cs="Times New Roman"/>
          <w:kern w:val="0"/>
          <w:lang w:eastAsia="fr-FR"/>
          <w14:ligatures w14:val="none"/>
        </w:rPr>
        <w:t xml:space="preserve">effets secondaires majeurs. </w:t>
      </w: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>Les protocoles standards</w:t>
      </w:r>
      <w:r w:rsidRPr="00CB5BD2">
        <w:rPr>
          <w:rFonts w:eastAsia="Times New Roman" w:cs="Times New Roman"/>
          <w:kern w:val="0"/>
          <w:lang w:eastAsia="fr-FR"/>
          <w14:ligatures w14:val="none"/>
        </w:rPr>
        <w:t xml:space="preserve"> (TBR, SMR, SCP) ont montré une efficacité similaire à celle du </w:t>
      </w: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>méthylphénidate</w:t>
      </w:r>
      <w:r w:rsidRPr="00CB5BD2">
        <w:rPr>
          <w:rFonts w:eastAsia="Times New Roman" w:cs="Times New Roman"/>
          <w:kern w:val="0"/>
          <w:lang w:eastAsia="fr-FR"/>
          <w14:ligatures w14:val="none"/>
        </w:rPr>
        <w:t xml:space="preserve"> à court terme et des effets prolongés dans le temps. Toutefois, en l’absence de </w:t>
      </w: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>réglementation et de normes standardisées</w:t>
      </w:r>
      <w:r w:rsidRPr="00CB5BD2">
        <w:rPr>
          <w:rFonts w:eastAsia="Times New Roman" w:cs="Times New Roman"/>
          <w:kern w:val="0"/>
          <w:lang w:eastAsia="fr-FR"/>
          <w14:ligatures w14:val="none"/>
        </w:rPr>
        <w:t xml:space="preserve">, son utilisation en milieu clinique demeure </w:t>
      </w: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>controversée</w:t>
      </w:r>
      <w:r w:rsidRPr="00CB5BD2">
        <w:rPr>
          <w:rFonts w:eastAsia="Times New Roman" w:cs="Times New Roman"/>
          <w:kern w:val="0"/>
          <w:lang w:eastAsia="fr-FR"/>
          <w14:ligatures w14:val="none"/>
        </w:rPr>
        <w:t xml:space="preserve">. Les auteurs insistent sur la nécessité de </w:t>
      </w: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>nouvelles recherches rigoureuses</w:t>
      </w:r>
      <w:r w:rsidRPr="00CB5BD2">
        <w:rPr>
          <w:rFonts w:eastAsia="Times New Roman" w:cs="Times New Roman"/>
          <w:kern w:val="0"/>
          <w:lang w:eastAsia="fr-FR"/>
          <w14:ligatures w14:val="none"/>
        </w:rPr>
        <w:t xml:space="preserve"> pour mieux comprendre </w:t>
      </w: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>les mécanismes d’action du neurofeedback</w:t>
      </w:r>
      <w:r w:rsidRPr="00CB5BD2">
        <w:rPr>
          <w:rFonts w:eastAsia="Times New Roman" w:cs="Times New Roman"/>
          <w:kern w:val="0"/>
          <w:lang w:eastAsia="fr-FR"/>
          <w14:ligatures w14:val="none"/>
        </w:rPr>
        <w:t xml:space="preserve"> et d’établir </w:t>
      </w:r>
      <w:r w:rsidRPr="00CB5BD2">
        <w:rPr>
          <w:rFonts w:eastAsia="Times New Roman" w:cs="Times New Roman"/>
          <w:b/>
          <w:bCs/>
          <w:kern w:val="0"/>
          <w:lang w:eastAsia="fr-FR"/>
          <w14:ligatures w14:val="none"/>
        </w:rPr>
        <w:t>des standards de formation et de pratique</w:t>
      </w:r>
      <w:r w:rsidRPr="00CB5BD2">
        <w:rPr>
          <w:rFonts w:eastAsia="Times New Roman" w:cs="Times New Roman"/>
          <w:kern w:val="0"/>
          <w:lang w:eastAsia="fr-FR"/>
          <w14:ligatures w14:val="none"/>
        </w:rPr>
        <w:t xml:space="preserve"> pour les professionnels</w:t>
      </w:r>
      <w:r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167FAFD7" w14:textId="6912E1F1" w:rsidR="00211928" w:rsidRPr="00211928" w:rsidRDefault="00211928" w:rsidP="00211928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211928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Dr </w:t>
      </w:r>
      <w:proofErr w:type="spellStart"/>
      <w:r w:rsidRPr="00211928">
        <w:rPr>
          <w:rFonts w:eastAsia="Times New Roman" w:cs="Times New Roman"/>
          <w:b/>
          <w:bCs/>
          <w:kern w:val="0"/>
          <w:lang w:eastAsia="fr-FR"/>
          <w14:ligatures w14:val="none"/>
        </w:rPr>
        <w:t>Nassiri</w:t>
      </w:r>
      <w:proofErr w:type="spellEnd"/>
      <w:r w:rsidRPr="00211928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Yassine</w:t>
      </w:r>
    </w:p>
    <w:p w14:paraId="1070A724" w14:textId="6A9B7E86" w:rsidR="00211928" w:rsidRPr="00211928" w:rsidRDefault="00211928" w:rsidP="00211928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211928">
        <w:rPr>
          <w:rFonts w:eastAsia="Times New Roman" w:cs="Times New Roman"/>
          <w:b/>
          <w:bCs/>
          <w:kern w:val="0"/>
          <w:lang w:eastAsia="fr-FR"/>
          <w14:ligatures w14:val="none"/>
        </w:rPr>
        <w:t>CHU Souss Massa</w:t>
      </w:r>
    </w:p>
    <w:p w14:paraId="5EF0FCAC" w14:textId="1360E580" w:rsidR="00211928" w:rsidRPr="00211928" w:rsidRDefault="00211928" w:rsidP="00211928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211928">
        <w:rPr>
          <w:rFonts w:eastAsia="Times New Roman" w:cs="Times New Roman"/>
          <w:b/>
          <w:bCs/>
          <w:kern w:val="0"/>
          <w:lang w:eastAsia="fr-FR"/>
          <w14:ligatures w14:val="none"/>
        </w:rPr>
        <w:t>Février 2025</w:t>
      </w:r>
    </w:p>
    <w:p w14:paraId="13772952" w14:textId="77777777" w:rsidR="00CB5BD2" w:rsidRPr="007D0F6D" w:rsidRDefault="00CB5BD2" w:rsidP="00CB5BD2">
      <w:pPr>
        <w:pStyle w:val="Paragraphedeliste"/>
        <w:ind w:left="360"/>
      </w:pPr>
    </w:p>
    <w:p w14:paraId="6D9A4567" w14:textId="77777777" w:rsidR="007D0F6D" w:rsidRDefault="007D0F6D" w:rsidP="007D0F6D">
      <w:pPr>
        <w:pStyle w:val="Paragraphedeliste"/>
        <w:ind w:left="360"/>
      </w:pPr>
    </w:p>
    <w:sectPr w:rsidR="007D0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7276C"/>
    <w:multiLevelType w:val="hybridMultilevel"/>
    <w:tmpl w:val="C7E058C0"/>
    <w:lvl w:ilvl="0" w:tplc="040C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sz w:val="24"/>
        <w:szCs w:val="24"/>
      </w:rPr>
    </w:lvl>
    <w:lvl w:ilvl="1" w:tplc="6720B4B0">
      <w:start w:val="2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E7F0E"/>
    <w:multiLevelType w:val="multilevel"/>
    <w:tmpl w:val="1322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B11BFB"/>
    <w:multiLevelType w:val="multilevel"/>
    <w:tmpl w:val="49A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888241">
    <w:abstractNumId w:val="0"/>
  </w:num>
  <w:num w:numId="2" w16cid:durableId="28454323">
    <w:abstractNumId w:val="1"/>
  </w:num>
  <w:num w:numId="3" w16cid:durableId="985621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53"/>
    <w:rsid w:val="0015462B"/>
    <w:rsid w:val="00211928"/>
    <w:rsid w:val="00397822"/>
    <w:rsid w:val="00440995"/>
    <w:rsid w:val="00561353"/>
    <w:rsid w:val="007D0F6D"/>
    <w:rsid w:val="00822124"/>
    <w:rsid w:val="008B7DFE"/>
    <w:rsid w:val="00A84D9F"/>
    <w:rsid w:val="00A96CF1"/>
    <w:rsid w:val="00CB5BD2"/>
    <w:rsid w:val="00CD2860"/>
    <w:rsid w:val="00F5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794E"/>
  <w15:chartTrackingRefBased/>
  <w15:docId w15:val="{85E46051-DA49-473D-A255-DA3ED45A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1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1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1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1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1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1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1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1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1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61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1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13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13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13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13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13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13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1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1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1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13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13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13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1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13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1353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8B7D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SOADE.LBADAOUI</dc:creator>
  <cp:keywords/>
  <dc:description/>
  <cp:lastModifiedBy>hp</cp:lastModifiedBy>
  <cp:revision>3</cp:revision>
  <dcterms:created xsi:type="dcterms:W3CDTF">2025-02-26T18:03:00Z</dcterms:created>
  <dcterms:modified xsi:type="dcterms:W3CDTF">2025-03-01T17:40:00Z</dcterms:modified>
</cp:coreProperties>
</file>