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6BACD" w14:textId="4FB6006A" w:rsidR="00B16B37" w:rsidRPr="005156D1" w:rsidRDefault="00B16B37">
      <w:pPr>
        <w:rPr>
          <w:sz w:val="32"/>
          <w:szCs w:val="32"/>
        </w:rPr>
      </w:pPr>
    </w:p>
    <w:p w14:paraId="288CB8AB" w14:textId="1458B617" w:rsidR="000A1DBF" w:rsidRPr="005156D1" w:rsidRDefault="005156D1">
      <w:pPr>
        <w:rPr>
          <w:b/>
          <w:bCs/>
          <w:sz w:val="32"/>
          <w:szCs w:val="32"/>
        </w:rPr>
      </w:pPr>
      <w:r w:rsidRPr="005156D1">
        <w:rPr>
          <w:b/>
          <w:bCs/>
          <w:sz w:val="32"/>
          <w:szCs w:val="32"/>
        </w:rPr>
        <w:t>Comparaison de l’efficacité et de la tolérance des médicaments prescrits dans le trouble déficit de l’attention et hyperactivité chez les enfants, les adolescents et les adultes : Une revue systématique et une méta analyse en réseau</w:t>
      </w:r>
    </w:p>
    <w:p w14:paraId="2ECF8F0D" w14:textId="77777777" w:rsidR="000A1DBF" w:rsidRDefault="000A1DBF"/>
    <w:p w14:paraId="687DC6BB" w14:textId="360F9AC7" w:rsidR="005156D1" w:rsidRDefault="005156D1" w:rsidP="005156D1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>
        <w:rPr>
          <w:noProof/>
        </w:rPr>
        <w:drawing>
          <wp:inline distT="0" distB="0" distL="0" distR="0" wp14:anchorId="0FB1882E" wp14:editId="4475E9AD">
            <wp:extent cx="5731510" cy="1784779"/>
            <wp:effectExtent l="0" t="0" r="2540" b="6350"/>
            <wp:docPr id="91130515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30515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84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110803" w14:textId="77777777" w:rsidR="005156D1" w:rsidRPr="005156D1" w:rsidRDefault="005156D1" w:rsidP="005156D1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</w:p>
    <w:p w14:paraId="217386D7" w14:textId="0918F7AE" w:rsidR="005156D1" w:rsidRPr="005156D1" w:rsidRDefault="005156D1" w:rsidP="005156D1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5156D1">
        <w:rPr>
          <w:rFonts w:asciiTheme="majorBidi" w:hAnsiTheme="majorBidi" w:cstheme="majorBidi"/>
          <w:b/>
          <w:bCs/>
          <w:color w:val="FF0000"/>
          <w:sz w:val="32"/>
          <w:szCs w:val="32"/>
        </w:rPr>
        <w:t>INTRODUCTION :</w:t>
      </w:r>
    </w:p>
    <w:p w14:paraId="156E4134" w14:textId="1727A30D" w:rsidR="000A1DBF" w:rsidRPr="000A1DBF" w:rsidRDefault="000A1DBF" w:rsidP="000A1DBF">
      <w:r w:rsidRPr="000A1DBF">
        <w:t>Le trouble du déficit de l’attention avec hyperactivité (</w:t>
      </w:r>
      <w:r w:rsidRPr="000A1DBF">
        <w:rPr>
          <w:b/>
          <w:bCs/>
        </w:rPr>
        <w:t>TDAH</w:t>
      </w:r>
      <w:r w:rsidRPr="000A1DBF">
        <w:t xml:space="preserve">) est un trouble neurodéveloppemental caractérisé par des niveaux inadaptés d’inattention, </w:t>
      </w:r>
      <w:proofErr w:type="gramStart"/>
      <w:r w:rsidRPr="000A1DBF">
        <w:t>d’hyperactivité</w:t>
      </w:r>
      <w:proofErr w:type="gramEnd"/>
      <w:r w:rsidRPr="000A1DBF">
        <w:t xml:space="preserve"> et/ou d’impulsivité. Il touche environ </w:t>
      </w:r>
      <w:r w:rsidRPr="000A1DBF">
        <w:rPr>
          <w:b/>
          <w:bCs/>
        </w:rPr>
        <w:t>5 % des enfants</w:t>
      </w:r>
      <w:r w:rsidRPr="000A1DBF">
        <w:t xml:space="preserve"> et </w:t>
      </w:r>
      <w:r w:rsidRPr="000A1DBF">
        <w:rPr>
          <w:b/>
          <w:bCs/>
        </w:rPr>
        <w:t>2,5 % des adultes</w:t>
      </w:r>
      <w:r w:rsidRPr="000A1DBF">
        <w:t xml:space="preserve"> à l’échelle mondiale.</w:t>
      </w:r>
      <w:r w:rsidR="005156D1">
        <w:t xml:space="preserve"> </w:t>
      </w:r>
      <w:r w:rsidRPr="000A1DBF">
        <w:t>Les traitements pharmacologiques du TDAH comprennent :</w:t>
      </w:r>
    </w:p>
    <w:p w14:paraId="41C81692" w14:textId="77777777" w:rsidR="000A1DBF" w:rsidRPr="000A1DBF" w:rsidRDefault="000A1DBF" w:rsidP="000A1DBF">
      <w:pPr>
        <w:pStyle w:val="Paragraphedeliste"/>
        <w:numPr>
          <w:ilvl w:val="0"/>
          <w:numId w:val="2"/>
        </w:numPr>
      </w:pPr>
      <w:r w:rsidRPr="000A1DBF">
        <w:rPr>
          <w:b/>
          <w:bCs/>
        </w:rPr>
        <w:t>Les psychostimulants</w:t>
      </w:r>
      <w:r w:rsidRPr="000A1DBF">
        <w:t xml:space="preserve"> (ex. méthylphénidate, amphétamines).</w:t>
      </w:r>
    </w:p>
    <w:p w14:paraId="3416BF19" w14:textId="77777777" w:rsidR="000A1DBF" w:rsidRPr="000A1DBF" w:rsidRDefault="000A1DBF" w:rsidP="000A1DBF">
      <w:pPr>
        <w:pStyle w:val="Paragraphedeliste"/>
        <w:numPr>
          <w:ilvl w:val="0"/>
          <w:numId w:val="2"/>
        </w:numPr>
      </w:pPr>
      <w:r w:rsidRPr="000A1DBF">
        <w:rPr>
          <w:b/>
          <w:bCs/>
        </w:rPr>
        <w:t>Les non-psychostimulants</w:t>
      </w:r>
      <w:r w:rsidRPr="000A1DBF">
        <w:t xml:space="preserve"> (ex. </w:t>
      </w:r>
      <w:proofErr w:type="spellStart"/>
      <w:r w:rsidRPr="000A1DBF">
        <w:t>atomoxétine</w:t>
      </w:r>
      <w:proofErr w:type="spellEnd"/>
      <w:r w:rsidRPr="000A1DBF">
        <w:t xml:space="preserve">, </w:t>
      </w:r>
      <w:proofErr w:type="spellStart"/>
      <w:r w:rsidRPr="000A1DBF">
        <w:t>clonidine</w:t>
      </w:r>
      <w:proofErr w:type="spellEnd"/>
      <w:r w:rsidRPr="000A1DBF">
        <w:t xml:space="preserve">, </w:t>
      </w:r>
      <w:proofErr w:type="spellStart"/>
      <w:r w:rsidRPr="000A1DBF">
        <w:t>guanfacine</w:t>
      </w:r>
      <w:proofErr w:type="spellEnd"/>
      <w:r w:rsidRPr="000A1DBF">
        <w:t>).</w:t>
      </w:r>
    </w:p>
    <w:p w14:paraId="67ADF6AD" w14:textId="7EA62FF8" w:rsidR="000A1DBF" w:rsidRPr="000A1DBF" w:rsidRDefault="000A1DBF" w:rsidP="000A1DBF">
      <w:r w:rsidRPr="000A1DBF">
        <w:t xml:space="preserve">Ces traitements ont montré une </w:t>
      </w:r>
      <w:r w:rsidRPr="000A1DBF">
        <w:rPr>
          <w:b/>
          <w:bCs/>
        </w:rPr>
        <w:t>augmentation importante des prescriptions</w:t>
      </w:r>
      <w:r w:rsidRPr="000A1DBF">
        <w:t xml:space="preserve"> ces dernières années, mais leur </w:t>
      </w:r>
      <w:r w:rsidRPr="000A1DBF">
        <w:rPr>
          <w:b/>
          <w:bCs/>
        </w:rPr>
        <w:t>efficacité et sécurité restent controversées</w:t>
      </w:r>
      <w:r w:rsidRPr="000A1DBF">
        <w:t>. Les recommandations varient entre les pays et selon les groupes d'âge.</w:t>
      </w:r>
    </w:p>
    <w:p w14:paraId="54A32F47" w14:textId="1267AB48" w:rsidR="000A1DBF" w:rsidRDefault="000A1DBF" w:rsidP="000A1DBF">
      <w:pPr>
        <w:rPr>
          <w:b/>
          <w:bCs/>
        </w:rPr>
      </w:pPr>
      <w:r w:rsidRPr="000A1DBF">
        <w:t xml:space="preserve">Les études précédentes se concentraient soit uniquement sur les enfants, soit sur les adultes, et les méta-analyses existantes donnaient des résultats </w:t>
      </w:r>
      <w:r w:rsidRPr="000A1DBF">
        <w:rPr>
          <w:b/>
          <w:bCs/>
        </w:rPr>
        <w:t>incohérents</w:t>
      </w:r>
      <w:r w:rsidRPr="000A1DBF">
        <w:t xml:space="preserve">. Cette étude vise à </w:t>
      </w:r>
      <w:r w:rsidRPr="000A1DBF">
        <w:rPr>
          <w:b/>
          <w:bCs/>
        </w:rPr>
        <w:t>fournir une analyse comparative exhaustive</w:t>
      </w:r>
      <w:r w:rsidRPr="000A1DBF">
        <w:t xml:space="preserve"> de l'efficacité et de la tolérance des traitements du TDAH </w:t>
      </w:r>
      <w:r w:rsidRPr="000A1DBF">
        <w:rPr>
          <w:b/>
          <w:bCs/>
        </w:rPr>
        <w:t>chez les enfants, adolescents et adultes</w:t>
      </w:r>
      <w:r w:rsidRPr="000A1DBF">
        <w:t xml:space="preserve">, sur la base des </w:t>
      </w:r>
      <w:r w:rsidRPr="000A1DBF">
        <w:rPr>
          <w:b/>
          <w:bCs/>
        </w:rPr>
        <w:t>données publiées et inédites</w:t>
      </w:r>
      <w:r>
        <w:rPr>
          <w:b/>
          <w:bCs/>
        </w:rPr>
        <w:t>.</w:t>
      </w:r>
    </w:p>
    <w:p w14:paraId="0069E9D4" w14:textId="27C938FE" w:rsidR="000A1DBF" w:rsidRPr="005156D1" w:rsidRDefault="000A1DBF" w:rsidP="005156D1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5156D1">
        <w:rPr>
          <w:rFonts w:asciiTheme="majorBidi" w:hAnsiTheme="majorBidi" w:cstheme="majorBidi"/>
          <w:b/>
          <w:bCs/>
          <w:color w:val="FF0000"/>
          <w:sz w:val="32"/>
          <w:szCs w:val="32"/>
        </w:rPr>
        <w:t>Matériels et méthodes :</w:t>
      </w:r>
    </w:p>
    <w:p w14:paraId="4E83BFE0" w14:textId="45BCE19D" w:rsidR="000A1DBF" w:rsidRDefault="000A1DBF" w:rsidP="00192F0A">
      <w:r w:rsidRPr="000A1DBF">
        <w:lastRenderedPageBreak/>
        <w:t>Une revue systématique et une méta-analyse en réseau ont été réalisées à partir d’essais randomisés en double aveugle comparant plusieurs traitements :</w:t>
      </w:r>
    </w:p>
    <w:p w14:paraId="56500D6D" w14:textId="77777777" w:rsidR="00192F0A" w:rsidRDefault="00192F0A" w:rsidP="00192F0A">
      <w:pPr>
        <w:pStyle w:val="Paragraphedeliste"/>
        <w:numPr>
          <w:ilvl w:val="0"/>
          <w:numId w:val="4"/>
        </w:numPr>
      </w:pPr>
      <w:r w:rsidRPr="00192F0A">
        <w:t xml:space="preserve">Amphétamines (y compris </w:t>
      </w:r>
      <w:proofErr w:type="spellStart"/>
      <w:r w:rsidRPr="00192F0A">
        <w:t>lisdexamfétamine</w:t>
      </w:r>
      <w:proofErr w:type="spellEnd"/>
      <w:r w:rsidRPr="00192F0A">
        <w:t>)</w:t>
      </w:r>
    </w:p>
    <w:p w14:paraId="30981BFE" w14:textId="447EFA2B" w:rsidR="00192F0A" w:rsidRDefault="00192F0A" w:rsidP="00192F0A">
      <w:pPr>
        <w:pStyle w:val="Paragraphedeliste"/>
        <w:numPr>
          <w:ilvl w:val="0"/>
          <w:numId w:val="4"/>
        </w:numPr>
      </w:pPr>
      <w:r w:rsidRPr="00192F0A">
        <w:rPr>
          <w:lang w:eastAsia="fr-FR"/>
        </w:rPr>
        <w:t xml:space="preserve"> Méthylphénidate</w:t>
      </w:r>
    </w:p>
    <w:p w14:paraId="6AC463DF" w14:textId="211B54FC" w:rsidR="00192F0A" w:rsidRPr="00192F0A" w:rsidRDefault="00192F0A" w:rsidP="00192F0A">
      <w:pPr>
        <w:pStyle w:val="Paragraphedeliste"/>
        <w:numPr>
          <w:ilvl w:val="0"/>
          <w:numId w:val="4"/>
        </w:numPr>
        <w:rPr>
          <w:lang w:eastAsia="fr-FR"/>
        </w:rPr>
      </w:pPr>
      <w:proofErr w:type="spellStart"/>
      <w:r w:rsidRPr="00192F0A">
        <w:rPr>
          <w:lang w:eastAsia="fr-FR"/>
        </w:rPr>
        <w:t>Atomoxétine</w:t>
      </w:r>
      <w:proofErr w:type="spellEnd"/>
    </w:p>
    <w:p w14:paraId="42E2CD12" w14:textId="77777777" w:rsidR="00192F0A" w:rsidRDefault="00192F0A" w:rsidP="00192F0A">
      <w:pPr>
        <w:pStyle w:val="Paragraphedeliste"/>
        <w:numPr>
          <w:ilvl w:val="0"/>
          <w:numId w:val="4"/>
        </w:numPr>
        <w:rPr>
          <w:lang w:eastAsia="fr-FR"/>
        </w:rPr>
      </w:pPr>
      <w:proofErr w:type="spellStart"/>
      <w:r w:rsidRPr="00192F0A">
        <w:rPr>
          <w:lang w:eastAsia="fr-FR"/>
        </w:rPr>
        <w:t>Bupropion</w:t>
      </w:r>
      <w:proofErr w:type="spellEnd"/>
    </w:p>
    <w:p w14:paraId="5AA947EB" w14:textId="2B38F384" w:rsidR="00192F0A" w:rsidRDefault="00192F0A" w:rsidP="00192F0A">
      <w:pPr>
        <w:pStyle w:val="Paragraphedeliste"/>
        <w:numPr>
          <w:ilvl w:val="0"/>
          <w:numId w:val="4"/>
        </w:numPr>
        <w:rPr>
          <w:lang w:eastAsia="fr-FR"/>
        </w:rPr>
      </w:pPr>
      <w:proofErr w:type="spellStart"/>
      <w:r w:rsidRPr="00192F0A">
        <w:rPr>
          <w:lang w:eastAsia="fr-FR"/>
        </w:rPr>
        <w:t>Modafinil</w:t>
      </w:r>
      <w:proofErr w:type="spellEnd"/>
    </w:p>
    <w:p w14:paraId="5BCBB63F" w14:textId="02C33F35" w:rsidR="00192F0A" w:rsidRDefault="00192F0A" w:rsidP="00192F0A">
      <w:pPr>
        <w:pStyle w:val="Paragraphedeliste"/>
        <w:numPr>
          <w:ilvl w:val="0"/>
          <w:numId w:val="4"/>
        </w:numPr>
        <w:rPr>
          <w:lang w:eastAsia="fr-FR"/>
        </w:rPr>
      </w:pPr>
      <w:proofErr w:type="spellStart"/>
      <w:r w:rsidRPr="00192F0A">
        <w:rPr>
          <w:lang w:eastAsia="fr-FR"/>
        </w:rPr>
        <w:t>Clonidine</w:t>
      </w:r>
      <w:proofErr w:type="spellEnd"/>
      <w:r w:rsidRPr="00192F0A">
        <w:rPr>
          <w:lang w:eastAsia="fr-FR"/>
        </w:rPr>
        <w:t xml:space="preserve"> et </w:t>
      </w:r>
      <w:proofErr w:type="spellStart"/>
      <w:r w:rsidRPr="00192F0A">
        <w:rPr>
          <w:lang w:eastAsia="fr-FR"/>
        </w:rPr>
        <w:t>Guanfacine</w:t>
      </w:r>
      <w:proofErr w:type="spellEnd"/>
    </w:p>
    <w:p w14:paraId="03864B61" w14:textId="77777777" w:rsidR="00192F0A" w:rsidRPr="00192F0A" w:rsidRDefault="00192F0A" w:rsidP="00192F0A">
      <w:pPr>
        <w:rPr>
          <w:lang w:eastAsia="fr-FR"/>
        </w:rPr>
      </w:pPr>
      <w:r w:rsidRPr="00192F0A">
        <w:rPr>
          <w:lang w:eastAsia="fr-FR"/>
        </w:rPr>
        <w:t>Les critères principaux étaient :</w:t>
      </w:r>
    </w:p>
    <w:p w14:paraId="52067EA3" w14:textId="10AE5948" w:rsidR="00192F0A" w:rsidRPr="00192F0A" w:rsidRDefault="00192F0A" w:rsidP="00192F0A">
      <w:pPr>
        <w:pStyle w:val="Paragraphedeliste"/>
        <w:numPr>
          <w:ilvl w:val="0"/>
          <w:numId w:val="6"/>
        </w:numPr>
        <w:rPr>
          <w:lang w:eastAsia="fr-FR"/>
        </w:rPr>
      </w:pPr>
      <w:r w:rsidRPr="00192F0A">
        <w:rPr>
          <w:b/>
          <w:bCs/>
          <w:lang w:eastAsia="fr-FR"/>
        </w:rPr>
        <w:t>Efficacité</w:t>
      </w:r>
      <w:r w:rsidRPr="00192F0A">
        <w:rPr>
          <w:lang w:eastAsia="fr-FR"/>
        </w:rPr>
        <w:t xml:space="preserve"> : Réduction des symptômes du TDAH évaluée par les cliniciens et </w:t>
      </w:r>
      <w:r w:rsidR="005156D1">
        <w:rPr>
          <w:lang w:eastAsia="fr-FR"/>
        </w:rPr>
        <w:t xml:space="preserve">les </w:t>
      </w:r>
      <w:r w:rsidRPr="00192F0A">
        <w:rPr>
          <w:lang w:eastAsia="fr-FR"/>
        </w:rPr>
        <w:t>enseignants.</w:t>
      </w:r>
    </w:p>
    <w:p w14:paraId="5E35081B" w14:textId="77777777" w:rsidR="00192F0A" w:rsidRPr="00192F0A" w:rsidRDefault="00192F0A" w:rsidP="00192F0A">
      <w:pPr>
        <w:pStyle w:val="Paragraphedeliste"/>
        <w:numPr>
          <w:ilvl w:val="0"/>
          <w:numId w:val="6"/>
        </w:numPr>
        <w:rPr>
          <w:lang w:eastAsia="fr-FR"/>
        </w:rPr>
      </w:pPr>
      <w:r w:rsidRPr="00192F0A">
        <w:rPr>
          <w:b/>
          <w:bCs/>
          <w:lang w:eastAsia="fr-FR"/>
        </w:rPr>
        <w:t>Tolérance</w:t>
      </w:r>
      <w:r w:rsidRPr="00192F0A">
        <w:rPr>
          <w:lang w:eastAsia="fr-FR"/>
        </w:rPr>
        <w:t xml:space="preserve"> : Taux d’abandon du traitement dû aux effets secondaires.</w:t>
      </w:r>
    </w:p>
    <w:p w14:paraId="7A6998AB" w14:textId="4012C238" w:rsidR="00743B19" w:rsidRPr="00192F0A" w:rsidRDefault="00192F0A" w:rsidP="00743B19">
      <w:pPr>
        <w:rPr>
          <w:lang w:eastAsia="fr-FR"/>
        </w:rPr>
      </w:pPr>
      <w:r w:rsidRPr="00192F0A">
        <w:rPr>
          <w:lang w:eastAsia="fr-FR"/>
        </w:rPr>
        <w:t xml:space="preserve">Un total de </w:t>
      </w:r>
      <w:r w:rsidRPr="00192F0A">
        <w:rPr>
          <w:b/>
          <w:bCs/>
          <w:lang w:eastAsia="fr-FR"/>
        </w:rPr>
        <w:t>133 essais cliniques en double aveugle</w:t>
      </w:r>
      <w:r w:rsidRPr="00192F0A">
        <w:rPr>
          <w:lang w:eastAsia="fr-FR"/>
        </w:rPr>
        <w:t xml:space="preserve"> a été inclus (81 chez les enfants/adolescents, 51 chez les adultes</w:t>
      </w:r>
      <w:r>
        <w:rPr>
          <w:lang w:eastAsia="fr-FR"/>
        </w:rPr>
        <w:t>)</w:t>
      </w:r>
    </w:p>
    <w:p w14:paraId="0ECB84D6" w14:textId="0F068FB6" w:rsidR="00192F0A" w:rsidRPr="005156D1" w:rsidRDefault="00192F0A" w:rsidP="005156D1">
      <w:pPr>
        <w:rPr>
          <w:rFonts w:asciiTheme="majorBidi" w:hAnsiTheme="majorBidi" w:cstheme="majorBidi"/>
          <w:b/>
          <w:bCs/>
          <w:color w:val="FF0000"/>
          <w:sz w:val="32"/>
          <w:szCs w:val="32"/>
          <w:lang w:eastAsia="fr-FR"/>
        </w:rPr>
      </w:pPr>
      <w:r w:rsidRPr="005156D1">
        <w:rPr>
          <w:rFonts w:asciiTheme="majorBidi" w:hAnsiTheme="majorBidi" w:cstheme="majorBidi"/>
          <w:b/>
          <w:bCs/>
          <w:color w:val="FF0000"/>
          <w:sz w:val="32"/>
          <w:szCs w:val="32"/>
          <w:lang w:eastAsia="fr-FR"/>
        </w:rPr>
        <w:t>Résultats :</w:t>
      </w:r>
    </w:p>
    <w:p w14:paraId="00ABB5E0" w14:textId="103EEA2A" w:rsidR="00192F0A" w:rsidRDefault="00192F0A" w:rsidP="00192F0A">
      <w:pPr>
        <w:pStyle w:val="Sous-titre"/>
        <w:numPr>
          <w:ilvl w:val="0"/>
          <w:numId w:val="9"/>
        </w:numPr>
        <w:rPr>
          <w:b/>
          <w:bCs/>
          <w:lang w:eastAsia="fr-FR"/>
        </w:rPr>
      </w:pPr>
      <w:r w:rsidRPr="00192F0A">
        <w:rPr>
          <w:b/>
          <w:bCs/>
          <w:lang w:eastAsia="fr-FR"/>
        </w:rPr>
        <w:t>Efficacité des traitements à 12 semaines</w:t>
      </w:r>
      <w:r>
        <w:rPr>
          <w:b/>
          <w:bCs/>
          <w:lang w:eastAsia="fr-FR"/>
        </w:rPr>
        <w:t> :</w:t>
      </w:r>
    </w:p>
    <w:p w14:paraId="46523D7D" w14:textId="55D7AF83" w:rsidR="008E751C" w:rsidRPr="008E751C" w:rsidRDefault="008E751C" w:rsidP="008E751C">
      <w:pPr>
        <w:rPr>
          <w:lang w:eastAsia="fr-FR"/>
        </w:rPr>
      </w:pPr>
      <w:r w:rsidRPr="008E751C">
        <w:rPr>
          <w:lang w:eastAsia="fr-FR"/>
        </w:rPr>
        <w:t>Chez les enfants/adolescents (évaluations des cliniciens) :</w:t>
      </w:r>
    </w:p>
    <w:p w14:paraId="5C0DBC99" w14:textId="77777777" w:rsidR="008E751C" w:rsidRPr="008E751C" w:rsidRDefault="008E751C" w:rsidP="008E751C">
      <w:pPr>
        <w:pStyle w:val="Paragraphedeliste"/>
        <w:numPr>
          <w:ilvl w:val="0"/>
          <w:numId w:val="12"/>
        </w:numPr>
        <w:rPr>
          <w:lang w:eastAsia="fr-FR"/>
        </w:rPr>
      </w:pPr>
      <w:r w:rsidRPr="008E751C">
        <w:rPr>
          <w:b/>
          <w:bCs/>
          <w:lang w:eastAsia="fr-FR"/>
        </w:rPr>
        <w:t>Toutes les molécules</w:t>
      </w:r>
      <w:r w:rsidRPr="008E751C">
        <w:rPr>
          <w:lang w:eastAsia="fr-FR"/>
        </w:rPr>
        <w:t xml:space="preserve"> étaient plus efficaces que le placebo.</w:t>
      </w:r>
    </w:p>
    <w:p w14:paraId="160931C5" w14:textId="1489CF3B" w:rsidR="008E751C" w:rsidRPr="008E751C" w:rsidRDefault="008E751C" w:rsidP="008E751C">
      <w:pPr>
        <w:pStyle w:val="Paragraphedeliste"/>
        <w:numPr>
          <w:ilvl w:val="0"/>
          <w:numId w:val="12"/>
        </w:numPr>
        <w:rPr>
          <w:lang w:eastAsia="fr-FR"/>
        </w:rPr>
      </w:pPr>
      <w:r w:rsidRPr="008E751C">
        <w:rPr>
          <w:lang w:eastAsia="fr-FR"/>
        </w:rPr>
        <w:t xml:space="preserve">L’effet le plus fort a été observé avec </w:t>
      </w:r>
      <w:r w:rsidRPr="008E751C">
        <w:rPr>
          <w:b/>
          <w:bCs/>
          <w:lang w:eastAsia="fr-FR"/>
        </w:rPr>
        <w:t>les amphétamines</w:t>
      </w:r>
      <w:r w:rsidRPr="008E751C">
        <w:rPr>
          <w:lang w:eastAsia="fr-FR"/>
        </w:rPr>
        <w:t xml:space="preserve"> (SMD = -1,02 ; IC 95 % [-1,19 ; -0,85]) suivies du méthylphénidate (SMD = -0,78) et de l’</w:t>
      </w:r>
      <w:proofErr w:type="spellStart"/>
      <w:r w:rsidRPr="008E751C">
        <w:rPr>
          <w:lang w:eastAsia="fr-FR"/>
        </w:rPr>
        <w:t>atomoxétine</w:t>
      </w:r>
      <w:proofErr w:type="spellEnd"/>
      <w:r w:rsidRPr="008E751C">
        <w:rPr>
          <w:lang w:eastAsia="fr-FR"/>
        </w:rPr>
        <w:t xml:space="preserve"> (SMD = -0,56)</w:t>
      </w:r>
    </w:p>
    <w:p w14:paraId="79C71387" w14:textId="74A03D35" w:rsidR="008E751C" w:rsidRPr="008E751C" w:rsidRDefault="008E751C" w:rsidP="008E751C">
      <w:pPr>
        <w:rPr>
          <w:lang w:eastAsia="fr-FR"/>
        </w:rPr>
      </w:pPr>
      <w:r w:rsidRPr="008E751C">
        <w:rPr>
          <w:lang w:eastAsia="fr-FR"/>
        </w:rPr>
        <w:t>Chez les adultes (évaluations des cliniciens) :</w:t>
      </w:r>
    </w:p>
    <w:p w14:paraId="65450E63" w14:textId="77777777" w:rsidR="008E751C" w:rsidRPr="008E751C" w:rsidRDefault="008E751C" w:rsidP="008E751C">
      <w:pPr>
        <w:pStyle w:val="Paragraphedeliste"/>
        <w:numPr>
          <w:ilvl w:val="0"/>
          <w:numId w:val="13"/>
        </w:numPr>
        <w:rPr>
          <w:lang w:eastAsia="fr-FR"/>
        </w:rPr>
      </w:pPr>
      <w:r w:rsidRPr="008E751C">
        <w:rPr>
          <w:lang w:eastAsia="fr-FR"/>
        </w:rPr>
        <w:t xml:space="preserve">Amphétamines (SMD = -0,79), méthylphénidate (SMD = -0,49), </w:t>
      </w:r>
      <w:proofErr w:type="spellStart"/>
      <w:r w:rsidRPr="008E751C">
        <w:rPr>
          <w:lang w:eastAsia="fr-FR"/>
        </w:rPr>
        <w:t>bupropion</w:t>
      </w:r>
      <w:proofErr w:type="spellEnd"/>
      <w:r w:rsidRPr="008E751C">
        <w:rPr>
          <w:lang w:eastAsia="fr-FR"/>
        </w:rPr>
        <w:t xml:space="preserve"> (SMD = -0,46) et </w:t>
      </w:r>
      <w:proofErr w:type="spellStart"/>
      <w:r w:rsidRPr="008E751C">
        <w:rPr>
          <w:lang w:eastAsia="fr-FR"/>
        </w:rPr>
        <w:t>atomoxétine</w:t>
      </w:r>
      <w:proofErr w:type="spellEnd"/>
      <w:r w:rsidRPr="008E751C">
        <w:rPr>
          <w:lang w:eastAsia="fr-FR"/>
        </w:rPr>
        <w:t xml:space="preserve"> (SMD = -0,45) étaient supérieurs au placebo.</w:t>
      </w:r>
    </w:p>
    <w:p w14:paraId="2545DEFB" w14:textId="77777777" w:rsidR="008E751C" w:rsidRPr="008E751C" w:rsidRDefault="008E751C" w:rsidP="008E751C">
      <w:pPr>
        <w:pStyle w:val="Paragraphedeliste"/>
        <w:numPr>
          <w:ilvl w:val="0"/>
          <w:numId w:val="13"/>
        </w:numPr>
        <w:rPr>
          <w:lang w:eastAsia="fr-FR"/>
        </w:rPr>
      </w:pPr>
      <w:proofErr w:type="spellStart"/>
      <w:r w:rsidRPr="008E751C">
        <w:rPr>
          <w:lang w:eastAsia="fr-FR"/>
        </w:rPr>
        <w:t>Modafinil</w:t>
      </w:r>
      <w:proofErr w:type="spellEnd"/>
      <w:r w:rsidRPr="008E751C">
        <w:rPr>
          <w:lang w:eastAsia="fr-FR"/>
        </w:rPr>
        <w:t xml:space="preserve"> n’a pas montré d’efficacité significative (SMD = 0,16)</w:t>
      </w:r>
    </w:p>
    <w:p w14:paraId="0EED86D3" w14:textId="41184AF1" w:rsidR="00192F0A" w:rsidRDefault="008E751C" w:rsidP="008E751C">
      <w:pPr>
        <w:pStyle w:val="Sous-titre"/>
        <w:numPr>
          <w:ilvl w:val="0"/>
          <w:numId w:val="9"/>
        </w:numPr>
        <w:rPr>
          <w:b/>
          <w:bCs/>
          <w:lang w:eastAsia="fr-FR"/>
        </w:rPr>
      </w:pPr>
      <w:r w:rsidRPr="008E751C">
        <w:rPr>
          <w:b/>
          <w:bCs/>
          <w:lang w:eastAsia="fr-FR"/>
        </w:rPr>
        <w:t>Tolérance et acceptabilité des traitements</w:t>
      </w:r>
      <w:r>
        <w:rPr>
          <w:b/>
          <w:bCs/>
          <w:lang w:eastAsia="fr-FR"/>
        </w:rPr>
        <w:t> :</w:t>
      </w:r>
    </w:p>
    <w:p w14:paraId="7F6C3835" w14:textId="279108D6" w:rsidR="008E751C" w:rsidRDefault="008E751C" w:rsidP="008E751C">
      <w:pPr>
        <w:rPr>
          <w:lang w:eastAsia="fr-FR"/>
        </w:rPr>
      </w:pPr>
      <w:r w:rsidRPr="008E751C">
        <w:rPr>
          <w:lang w:eastAsia="fr-FR"/>
        </w:rPr>
        <w:t>Dans les analyses de tolérance, les auteurs se sont principalement concentrés sur la comparaison de chaque médicament par rapport au placebo</w:t>
      </w:r>
      <w:r>
        <w:rPr>
          <w:lang w:eastAsia="fr-FR"/>
        </w:rPr>
        <w:t xml:space="preserve"> sans </w:t>
      </w:r>
      <w:r w:rsidRPr="008E751C">
        <w:rPr>
          <w:lang w:eastAsia="fr-FR"/>
        </w:rPr>
        <w:t>aucune comparaison directe entre deux médicaments n'a été réalisée en termes de tolérance.</w:t>
      </w:r>
    </w:p>
    <w:p w14:paraId="3EE1C689" w14:textId="4FB20D5C" w:rsidR="008E751C" w:rsidRDefault="008E751C" w:rsidP="008E751C">
      <w:pPr>
        <w:rPr>
          <w:lang w:eastAsia="fr-FR"/>
        </w:rPr>
      </w:pPr>
      <w:r>
        <w:rPr>
          <w:lang w:eastAsia="fr-FR"/>
        </w:rPr>
        <w:t xml:space="preserve">Les </w:t>
      </w:r>
      <w:r w:rsidR="005156D1">
        <w:rPr>
          <w:lang w:eastAsia="fr-FR"/>
        </w:rPr>
        <w:t>résultats</w:t>
      </w:r>
      <w:r>
        <w:rPr>
          <w:lang w:eastAsia="fr-FR"/>
        </w:rPr>
        <w:t xml:space="preserve"> sont les suivants :</w:t>
      </w:r>
    </w:p>
    <w:p w14:paraId="474285E4" w14:textId="686D85B8" w:rsidR="008E751C" w:rsidRPr="008E751C" w:rsidRDefault="008E751C" w:rsidP="008E751C">
      <w:pPr>
        <w:pStyle w:val="Paragraphedeliste"/>
        <w:numPr>
          <w:ilvl w:val="0"/>
          <w:numId w:val="14"/>
        </w:numPr>
        <w:rPr>
          <w:lang w:eastAsia="fr-FR"/>
        </w:rPr>
      </w:pPr>
      <w:r w:rsidRPr="008E751C">
        <w:rPr>
          <w:lang w:eastAsia="fr-FR"/>
        </w:rPr>
        <w:t>Les amphétamines étaient moins bien tolérées que le placebo chez les enfants (OR = 2,30) et les adultes (OR = 3,26).</w:t>
      </w:r>
    </w:p>
    <w:p w14:paraId="5E176613" w14:textId="1AD7EB60" w:rsidR="008E751C" w:rsidRPr="008E751C" w:rsidRDefault="008E751C" w:rsidP="008E751C">
      <w:pPr>
        <w:pStyle w:val="Paragraphedeliste"/>
        <w:numPr>
          <w:ilvl w:val="0"/>
          <w:numId w:val="14"/>
        </w:numPr>
        <w:rPr>
          <w:lang w:eastAsia="fr-FR"/>
        </w:rPr>
      </w:pPr>
      <w:r w:rsidRPr="008E751C">
        <w:rPr>
          <w:lang w:eastAsia="fr-FR"/>
        </w:rPr>
        <w:t xml:space="preserve">La </w:t>
      </w:r>
      <w:proofErr w:type="spellStart"/>
      <w:r w:rsidRPr="008E751C">
        <w:rPr>
          <w:lang w:eastAsia="fr-FR"/>
        </w:rPr>
        <w:t>guanfacine</w:t>
      </w:r>
      <w:proofErr w:type="spellEnd"/>
      <w:r w:rsidRPr="008E751C">
        <w:rPr>
          <w:lang w:eastAsia="fr-FR"/>
        </w:rPr>
        <w:t xml:space="preserve"> était moins bien tolérée chez les enfants (OR = 2,64).</w:t>
      </w:r>
    </w:p>
    <w:p w14:paraId="4B6BA33C" w14:textId="30C8C21B" w:rsidR="008E751C" w:rsidRDefault="008E751C" w:rsidP="008E751C">
      <w:pPr>
        <w:pStyle w:val="Paragraphedeliste"/>
        <w:numPr>
          <w:ilvl w:val="0"/>
          <w:numId w:val="14"/>
        </w:numPr>
        <w:rPr>
          <w:lang w:eastAsia="fr-FR"/>
        </w:rPr>
      </w:pPr>
      <w:r w:rsidRPr="008E751C">
        <w:rPr>
          <w:lang w:eastAsia="fr-FR"/>
        </w:rPr>
        <w:lastRenderedPageBreak/>
        <w:t>Chez les adultes, l’</w:t>
      </w:r>
      <w:proofErr w:type="spellStart"/>
      <w:r w:rsidRPr="008E751C">
        <w:rPr>
          <w:lang w:eastAsia="fr-FR"/>
        </w:rPr>
        <w:t>atomoxétine</w:t>
      </w:r>
      <w:proofErr w:type="spellEnd"/>
      <w:r w:rsidRPr="008E751C">
        <w:rPr>
          <w:lang w:eastAsia="fr-FR"/>
        </w:rPr>
        <w:t xml:space="preserve">, le méthylphénidate et le </w:t>
      </w:r>
      <w:proofErr w:type="spellStart"/>
      <w:r w:rsidRPr="008E751C">
        <w:rPr>
          <w:lang w:eastAsia="fr-FR"/>
        </w:rPr>
        <w:t>modafinil</w:t>
      </w:r>
      <w:proofErr w:type="spellEnd"/>
      <w:r w:rsidRPr="008E751C">
        <w:rPr>
          <w:lang w:eastAsia="fr-FR"/>
        </w:rPr>
        <w:t xml:space="preserve"> étaient moins bien tolérés que le placebo (OR entre 2,33 et 4,01)</w:t>
      </w:r>
    </w:p>
    <w:p w14:paraId="7A112E84" w14:textId="0EAEEC3B" w:rsidR="00743B19" w:rsidRDefault="008E751C" w:rsidP="00743B19">
      <w:pPr>
        <w:pStyle w:val="Sous-titre"/>
        <w:numPr>
          <w:ilvl w:val="0"/>
          <w:numId w:val="9"/>
        </w:numPr>
        <w:rPr>
          <w:b/>
          <w:bCs/>
          <w:lang w:eastAsia="fr-FR"/>
        </w:rPr>
      </w:pPr>
      <w:r w:rsidRPr="008E751C">
        <w:rPr>
          <w:b/>
          <w:bCs/>
          <w:lang w:eastAsia="fr-FR"/>
        </w:rPr>
        <w:t>Comparaisons directes entre l’efficacité des médicaments :</w:t>
      </w:r>
    </w:p>
    <w:p w14:paraId="79BB807E" w14:textId="77777777" w:rsidR="00743B19" w:rsidRDefault="00743B19" w:rsidP="00743B19">
      <w:pPr>
        <w:pStyle w:val="Paragraphedeliste"/>
        <w:numPr>
          <w:ilvl w:val="0"/>
          <w:numId w:val="15"/>
        </w:numPr>
        <w:rPr>
          <w:lang w:eastAsia="fr-FR"/>
        </w:rPr>
      </w:pPr>
      <w:r>
        <w:rPr>
          <w:lang w:eastAsia="fr-FR"/>
        </w:rPr>
        <w:t xml:space="preserve">Amphétamines &gt; méthylphénidate, </w:t>
      </w:r>
      <w:proofErr w:type="spellStart"/>
      <w:r>
        <w:rPr>
          <w:lang w:eastAsia="fr-FR"/>
        </w:rPr>
        <w:t>atomoxétine</w:t>
      </w:r>
      <w:proofErr w:type="spellEnd"/>
      <w:r>
        <w:rPr>
          <w:lang w:eastAsia="fr-FR"/>
        </w:rPr>
        <w:t xml:space="preserve"> et </w:t>
      </w:r>
      <w:proofErr w:type="spellStart"/>
      <w:r>
        <w:rPr>
          <w:lang w:eastAsia="fr-FR"/>
        </w:rPr>
        <w:t>modafinil</w:t>
      </w:r>
      <w:proofErr w:type="spellEnd"/>
      <w:r>
        <w:rPr>
          <w:lang w:eastAsia="fr-FR"/>
        </w:rPr>
        <w:t xml:space="preserve"> chez les enfants et les adultes (SMD entre -0,46 et -0,24).</w:t>
      </w:r>
    </w:p>
    <w:p w14:paraId="293D5C82" w14:textId="77777777" w:rsidR="00743B19" w:rsidRDefault="00743B19" w:rsidP="00743B19">
      <w:pPr>
        <w:pStyle w:val="Paragraphedeliste"/>
        <w:numPr>
          <w:ilvl w:val="0"/>
          <w:numId w:val="15"/>
        </w:numPr>
        <w:rPr>
          <w:lang w:eastAsia="fr-FR"/>
        </w:rPr>
      </w:pPr>
      <w:r>
        <w:rPr>
          <w:lang w:eastAsia="fr-FR"/>
        </w:rPr>
        <w:t xml:space="preserve">Méthylphénidate &gt; </w:t>
      </w:r>
      <w:proofErr w:type="spellStart"/>
      <w:r>
        <w:rPr>
          <w:lang w:eastAsia="fr-FR"/>
        </w:rPr>
        <w:t>atomoxétine</w:t>
      </w:r>
      <w:proofErr w:type="spellEnd"/>
      <w:r>
        <w:rPr>
          <w:lang w:eastAsia="fr-FR"/>
        </w:rPr>
        <w:t xml:space="preserve"> chez les enfants et adolescents.</w:t>
      </w:r>
    </w:p>
    <w:p w14:paraId="70186345" w14:textId="70D0D13D" w:rsidR="00743B19" w:rsidRDefault="00743B19" w:rsidP="00743B19">
      <w:pPr>
        <w:pStyle w:val="Paragraphedeliste"/>
        <w:numPr>
          <w:ilvl w:val="0"/>
          <w:numId w:val="15"/>
        </w:numPr>
        <w:rPr>
          <w:lang w:eastAsia="fr-FR"/>
        </w:rPr>
      </w:pPr>
      <w:proofErr w:type="spellStart"/>
      <w:r>
        <w:rPr>
          <w:lang w:eastAsia="fr-FR"/>
        </w:rPr>
        <w:t>Bupropion</w:t>
      </w:r>
      <w:proofErr w:type="spellEnd"/>
      <w:r>
        <w:rPr>
          <w:lang w:eastAsia="fr-FR"/>
        </w:rPr>
        <w:t xml:space="preserve">, </w:t>
      </w:r>
      <w:proofErr w:type="spellStart"/>
      <w:r>
        <w:rPr>
          <w:lang w:eastAsia="fr-FR"/>
        </w:rPr>
        <w:t>atomoxétine</w:t>
      </w:r>
      <w:proofErr w:type="spellEnd"/>
      <w:r>
        <w:rPr>
          <w:lang w:eastAsia="fr-FR"/>
        </w:rPr>
        <w:t xml:space="preserve"> et méthylphénidate &gt; </w:t>
      </w:r>
      <w:proofErr w:type="spellStart"/>
      <w:r>
        <w:rPr>
          <w:lang w:eastAsia="fr-FR"/>
        </w:rPr>
        <w:t>modafinil</w:t>
      </w:r>
      <w:proofErr w:type="spellEnd"/>
      <w:r>
        <w:rPr>
          <w:lang w:eastAsia="fr-FR"/>
        </w:rPr>
        <w:t xml:space="preserve"> chez les adultes.</w:t>
      </w:r>
    </w:p>
    <w:p w14:paraId="6435A2C7" w14:textId="77777777" w:rsidR="00743B19" w:rsidRDefault="00743B19" w:rsidP="00743B19">
      <w:pPr>
        <w:pStyle w:val="Paragraphedeliste"/>
        <w:rPr>
          <w:lang w:eastAsia="fr-FR"/>
        </w:rPr>
      </w:pPr>
    </w:p>
    <w:p w14:paraId="17C8B5AA" w14:textId="0FFF6094" w:rsidR="00743B19" w:rsidRPr="00BA410D" w:rsidRDefault="00743B19" w:rsidP="00BA410D">
      <w:pPr>
        <w:rPr>
          <w:rFonts w:asciiTheme="majorBidi" w:hAnsiTheme="majorBidi" w:cstheme="majorBidi"/>
          <w:b/>
          <w:bCs/>
          <w:color w:val="FF0000"/>
          <w:sz w:val="32"/>
          <w:szCs w:val="32"/>
          <w:lang w:eastAsia="fr-FR"/>
        </w:rPr>
      </w:pPr>
      <w:r w:rsidRPr="00BA410D">
        <w:rPr>
          <w:rFonts w:asciiTheme="majorBidi" w:hAnsiTheme="majorBidi" w:cstheme="majorBidi"/>
          <w:b/>
          <w:bCs/>
          <w:color w:val="FF0000"/>
          <w:sz w:val="32"/>
          <w:szCs w:val="32"/>
          <w:lang w:eastAsia="fr-FR"/>
        </w:rPr>
        <w:t>Discussion :</w:t>
      </w:r>
    </w:p>
    <w:p w14:paraId="68768466" w14:textId="00BBD7CB" w:rsidR="00F50219" w:rsidRDefault="00F50219" w:rsidP="00F50219">
      <w:r w:rsidRPr="00743B19">
        <w:rPr>
          <w:rFonts w:cstheme="majorBidi"/>
          <w:lang w:eastAsia="fr-FR"/>
        </w:rPr>
        <w:t>La</w:t>
      </w:r>
      <w:r w:rsidR="00743B19">
        <w:t xml:space="preserve"> présente méta-analyse constitue la synthèse la plus complète à ce jour sur l'efficacité et la tolérance des traitements du TDAH chez les enfants, adolescents et adultes, mettant en évidence des différences importantes entre les médicaments. Globalement, les </w:t>
      </w:r>
      <w:r w:rsidR="00743B19">
        <w:rPr>
          <w:rStyle w:val="lev"/>
        </w:rPr>
        <w:t>amphétamines</w:t>
      </w:r>
      <w:r w:rsidR="00743B19">
        <w:t xml:space="preserve"> apparaissent comme les traitements </w:t>
      </w:r>
      <w:r w:rsidR="00743B19">
        <w:rPr>
          <w:rStyle w:val="lev"/>
        </w:rPr>
        <w:t>les plus efficaces</w:t>
      </w:r>
      <w:r w:rsidR="00743B19">
        <w:t xml:space="preserve"> pour tous les groupes d'âge, bien que leur </w:t>
      </w:r>
      <w:r w:rsidR="00743B19">
        <w:rPr>
          <w:rStyle w:val="lev"/>
        </w:rPr>
        <w:t>tolérance soit plus faible</w:t>
      </w:r>
      <w:r w:rsidR="00743B19">
        <w:t>, notamment chez les enfants et adolescents où elles entraînent plus d’effets indésirables.</w:t>
      </w:r>
    </w:p>
    <w:p w14:paraId="0CE6FA23" w14:textId="77777777" w:rsidR="00F50219" w:rsidRDefault="00743B19" w:rsidP="00F50219">
      <w:r>
        <w:t xml:space="preserve">En revanche, le </w:t>
      </w:r>
      <w:r>
        <w:rPr>
          <w:rStyle w:val="lev"/>
        </w:rPr>
        <w:t>méthylphénidate</w:t>
      </w:r>
      <w:r>
        <w:t xml:space="preserve"> se distingue comme le </w:t>
      </w:r>
      <w:r>
        <w:rPr>
          <w:rStyle w:val="lev"/>
        </w:rPr>
        <w:t>traitement de première ligne privilégié chez les enfants et adolescents</w:t>
      </w:r>
      <w:r>
        <w:t xml:space="preserve">, offrant un bon équilibre entre </w:t>
      </w:r>
      <w:r>
        <w:rPr>
          <w:rStyle w:val="lev"/>
        </w:rPr>
        <w:t>efficacité et tolérance</w:t>
      </w:r>
      <w:r>
        <w:t xml:space="preserve">. Chez les adultes, les </w:t>
      </w:r>
      <w:r>
        <w:rPr>
          <w:rStyle w:val="lev"/>
        </w:rPr>
        <w:t>amphétamines sont le traitement le plus recommandé</w:t>
      </w:r>
      <w:r>
        <w:t>, car elles sont plus efficaces que les autres options pharmacologiques, malgré un profil de tolérance similaire au méthylphénidate et à l’</w:t>
      </w:r>
      <w:proofErr w:type="spellStart"/>
      <w:r>
        <w:t>atomoxétine</w:t>
      </w:r>
      <w:proofErr w:type="spellEnd"/>
      <w:r>
        <w:t>.</w:t>
      </w:r>
    </w:p>
    <w:p w14:paraId="34179003" w14:textId="7D825AEC" w:rsidR="00F50219" w:rsidRDefault="00F50219" w:rsidP="00F50219">
      <w:r>
        <w:t xml:space="preserve">Ces </w:t>
      </w:r>
      <w:r w:rsidRPr="00F50219">
        <w:t>résultats</w:t>
      </w:r>
      <w:r w:rsidRPr="00F50219">
        <w:rPr>
          <w:b/>
          <w:bCs/>
        </w:rPr>
        <w:t xml:space="preserve"> </w:t>
      </w:r>
      <w:r w:rsidRPr="00F50219">
        <w:rPr>
          <w:rStyle w:val="lev"/>
          <w:b w:val="0"/>
          <w:bCs w:val="0"/>
        </w:rPr>
        <w:t>soutiennent en grande partie</w:t>
      </w:r>
      <w:r>
        <w:rPr>
          <w:rStyle w:val="lev"/>
        </w:rPr>
        <w:t xml:space="preserve"> les recommandations de la NICE (2018)</w:t>
      </w:r>
      <w:r>
        <w:t xml:space="preserve">, qui privilégient </w:t>
      </w:r>
      <w:r w:rsidRPr="00F50219">
        <w:rPr>
          <w:rStyle w:val="lev"/>
          <w:b w:val="0"/>
          <w:bCs w:val="0"/>
        </w:rPr>
        <w:t>le méthylphénidate en première ligne chez les enfants</w:t>
      </w:r>
      <w:r w:rsidRPr="00F50219">
        <w:rPr>
          <w:b/>
          <w:bCs/>
        </w:rPr>
        <w:t xml:space="preserve"> </w:t>
      </w:r>
      <w:r w:rsidRPr="00F50219">
        <w:t>et</w:t>
      </w:r>
      <w:r w:rsidRPr="00F50219">
        <w:rPr>
          <w:b/>
          <w:bCs/>
        </w:rPr>
        <w:t xml:space="preserve"> </w:t>
      </w:r>
      <w:r w:rsidRPr="00F50219">
        <w:rPr>
          <w:rStyle w:val="lev"/>
          <w:b w:val="0"/>
          <w:bCs w:val="0"/>
        </w:rPr>
        <w:t>les amphétamines chez les adultes</w:t>
      </w:r>
      <w:r w:rsidRPr="00F50219">
        <w:rPr>
          <w:b/>
          <w:bCs/>
        </w:rPr>
        <w:t>.</w:t>
      </w:r>
    </w:p>
    <w:p w14:paraId="1554271B" w14:textId="6816A527" w:rsidR="00F50219" w:rsidRDefault="00743B19" w:rsidP="00F50219">
      <w:r w:rsidRPr="00F50219">
        <w:rPr>
          <w:b/>
          <w:bCs/>
        </w:rPr>
        <w:t>Contrairement aux recommandations cliniques</w:t>
      </w:r>
      <w:r>
        <w:t xml:space="preserve"> qui suggèrent parfois l’</w:t>
      </w:r>
      <w:proofErr w:type="spellStart"/>
      <w:r>
        <w:t>atomoxétine</w:t>
      </w:r>
      <w:proofErr w:type="spellEnd"/>
      <w:r w:rsidR="00F50219">
        <w:t xml:space="preserve"> </w:t>
      </w:r>
      <w:r>
        <w:t xml:space="preserve">ou la </w:t>
      </w:r>
      <w:proofErr w:type="spellStart"/>
      <w:r>
        <w:t>guanfacine</w:t>
      </w:r>
      <w:proofErr w:type="spellEnd"/>
      <w:r>
        <w:t xml:space="preserve"> comme alternatives, cette étude montre que leur tolérance est inférieure à celle du placebo et que leur efficacité reste inférieure à celle des psychostimulants.</w:t>
      </w:r>
    </w:p>
    <w:p w14:paraId="001EA74D" w14:textId="25003DEB" w:rsidR="00743B19" w:rsidRDefault="00743B19" w:rsidP="00F50219">
      <w:r>
        <w:t xml:space="preserve">Toutefois, cette analyse présente certaines limites, notamment </w:t>
      </w:r>
      <w:r>
        <w:rPr>
          <w:rStyle w:val="lev"/>
        </w:rPr>
        <w:t>l'absence de données comparant directement la tolérance entre les médicaments</w:t>
      </w:r>
      <w:r>
        <w:t xml:space="preserve">, ainsi que </w:t>
      </w:r>
      <w:r>
        <w:rPr>
          <w:rStyle w:val="lev"/>
        </w:rPr>
        <w:t>le manque d'études sur les effets à long terme des traitements au-delà de 12 semaines</w:t>
      </w:r>
      <w:r>
        <w:t>, rendant nécessaire la conduite de nouvelles recherches pour affiner les recommandations et mieux évaluer les effets indésirables prolongés.</w:t>
      </w:r>
    </w:p>
    <w:p w14:paraId="450D07B1" w14:textId="098A0047" w:rsidR="00F50219" w:rsidRPr="00692BC6" w:rsidRDefault="00F50219" w:rsidP="00692BC6">
      <w:pPr>
        <w:rPr>
          <w:rFonts w:asciiTheme="majorBidi" w:hAnsiTheme="majorBidi" w:cstheme="majorBidi"/>
          <w:b/>
          <w:bCs/>
          <w:color w:val="FF0000"/>
          <w:sz w:val="32"/>
          <w:szCs w:val="32"/>
        </w:rPr>
      </w:pPr>
      <w:r w:rsidRPr="00692BC6">
        <w:rPr>
          <w:rFonts w:asciiTheme="majorBidi" w:hAnsiTheme="majorBidi" w:cstheme="majorBidi"/>
          <w:b/>
          <w:bCs/>
          <w:color w:val="FF0000"/>
          <w:sz w:val="32"/>
          <w:szCs w:val="32"/>
        </w:rPr>
        <w:t>Conclusion :</w:t>
      </w:r>
    </w:p>
    <w:p w14:paraId="6E6E3639" w14:textId="7252A0D8" w:rsidR="00095FD8" w:rsidRDefault="00095FD8" w:rsidP="00095FD8">
      <w:r w:rsidRPr="00095FD8">
        <w:lastRenderedPageBreak/>
        <w:t xml:space="preserve">Cette méta-analyse fournit les preuves les plus complètes sur </w:t>
      </w:r>
      <w:r w:rsidRPr="00095FD8">
        <w:rPr>
          <w:b/>
          <w:bCs/>
        </w:rPr>
        <w:t>l'efficacité et la tolérance</w:t>
      </w:r>
      <w:r w:rsidRPr="00095FD8">
        <w:t xml:space="preserve"> des traitements du TDAH chez les enfants, adolescents et adultes, permettant ainsi d'orienter les choix thérapeutiques. Les résultats suggèrent qu</w:t>
      </w:r>
      <w:r>
        <w:t xml:space="preserve">’on doit privilégier </w:t>
      </w:r>
      <w:r w:rsidRPr="00095FD8">
        <w:rPr>
          <w:b/>
          <w:bCs/>
        </w:rPr>
        <w:t>le méthylphénidate</w:t>
      </w:r>
      <w:r>
        <w:rPr>
          <w:b/>
          <w:bCs/>
        </w:rPr>
        <w:t xml:space="preserve"> </w:t>
      </w:r>
      <w:r w:rsidRPr="00095FD8">
        <w:t>en première ligne</w:t>
      </w:r>
      <w:r w:rsidRPr="00095FD8">
        <w:rPr>
          <w:b/>
          <w:bCs/>
        </w:rPr>
        <w:t xml:space="preserve"> chez les enfants et adolescents</w:t>
      </w:r>
      <w:r w:rsidRPr="00095FD8">
        <w:t xml:space="preserve">, </w:t>
      </w:r>
      <w:r>
        <w:t xml:space="preserve">et de privilégier </w:t>
      </w:r>
      <w:r w:rsidRPr="00095FD8">
        <w:rPr>
          <w:b/>
          <w:bCs/>
        </w:rPr>
        <w:t>les amphétamines chez les adultes.</w:t>
      </w:r>
    </w:p>
    <w:p w14:paraId="4A962F90" w14:textId="12AF697A" w:rsidR="00F50219" w:rsidRDefault="00095FD8" w:rsidP="00095FD8">
      <w:r w:rsidRPr="00095FD8">
        <w:t>Cependant, les limites de cette étude, notamment l’</w:t>
      </w:r>
      <w:r w:rsidRPr="00095FD8">
        <w:rPr>
          <w:b/>
          <w:bCs/>
        </w:rPr>
        <w:t>absence de comparaisons directes de la tolérance entre médicaments</w:t>
      </w:r>
      <w:r w:rsidRPr="00095FD8">
        <w:t xml:space="preserve"> et le </w:t>
      </w:r>
      <w:r w:rsidRPr="00095FD8">
        <w:rPr>
          <w:b/>
          <w:bCs/>
        </w:rPr>
        <w:t>manque de données sur les effets à long terme</w:t>
      </w:r>
      <w:r w:rsidRPr="00095FD8">
        <w:t>, soulignent l’importance de nouvelles recherches pour évaluer de manière plus approfondie l’utilisation des traitements médicamenteux du TDAH sur des périodes prolongées.</w:t>
      </w:r>
    </w:p>
    <w:p w14:paraId="3EAB82A8" w14:textId="3F51B129" w:rsidR="00692BC6" w:rsidRPr="00692BC6" w:rsidRDefault="00692BC6" w:rsidP="00692BC6">
      <w:pPr>
        <w:jc w:val="right"/>
        <w:rPr>
          <w:b/>
          <w:bCs/>
        </w:rPr>
      </w:pPr>
      <w:r w:rsidRPr="00692BC6">
        <w:rPr>
          <w:b/>
          <w:bCs/>
        </w:rPr>
        <w:t xml:space="preserve">Yassine </w:t>
      </w:r>
      <w:proofErr w:type="spellStart"/>
      <w:r w:rsidRPr="00692BC6">
        <w:rPr>
          <w:b/>
          <w:bCs/>
        </w:rPr>
        <w:t>Nassiri</w:t>
      </w:r>
      <w:proofErr w:type="spellEnd"/>
    </w:p>
    <w:p w14:paraId="5AB0A4A7" w14:textId="6E1729B4" w:rsidR="00692BC6" w:rsidRPr="00692BC6" w:rsidRDefault="00692BC6" w:rsidP="00692BC6">
      <w:pPr>
        <w:jc w:val="right"/>
        <w:rPr>
          <w:b/>
          <w:bCs/>
        </w:rPr>
      </w:pPr>
      <w:r w:rsidRPr="00692BC6">
        <w:rPr>
          <w:b/>
          <w:bCs/>
        </w:rPr>
        <w:t>CHU Souss Massa</w:t>
      </w:r>
    </w:p>
    <w:p w14:paraId="04DD23F5" w14:textId="724326A0" w:rsidR="00692BC6" w:rsidRPr="00692BC6" w:rsidRDefault="00692BC6" w:rsidP="00692BC6">
      <w:pPr>
        <w:jc w:val="right"/>
        <w:rPr>
          <w:b/>
          <w:bCs/>
        </w:rPr>
      </w:pPr>
      <w:r w:rsidRPr="00692BC6">
        <w:rPr>
          <w:b/>
          <w:bCs/>
        </w:rPr>
        <w:t>Centre psychiatrique universitaire</w:t>
      </w:r>
    </w:p>
    <w:p w14:paraId="179EF95F" w14:textId="09972E8C" w:rsidR="00692BC6" w:rsidRPr="00692BC6" w:rsidRDefault="00692BC6" w:rsidP="00692BC6">
      <w:pPr>
        <w:jc w:val="right"/>
        <w:rPr>
          <w:b/>
          <w:bCs/>
        </w:rPr>
      </w:pPr>
      <w:r w:rsidRPr="00692BC6">
        <w:rPr>
          <w:b/>
          <w:bCs/>
        </w:rPr>
        <w:t>Janvier 2025</w:t>
      </w:r>
    </w:p>
    <w:p w14:paraId="2BAA898C" w14:textId="77777777" w:rsidR="00F50219" w:rsidRPr="00743B19" w:rsidRDefault="00F50219" w:rsidP="00743B19">
      <w:pPr>
        <w:pStyle w:val="Paragraphedeliste"/>
        <w:ind w:left="1211"/>
        <w:rPr>
          <w:rFonts w:asciiTheme="majorBidi" w:hAnsiTheme="majorBidi" w:cstheme="majorBidi"/>
          <w:b/>
          <w:bCs/>
          <w:color w:val="FF0000"/>
          <w:sz w:val="32"/>
          <w:szCs w:val="32"/>
          <w:lang w:eastAsia="fr-FR"/>
        </w:rPr>
      </w:pPr>
    </w:p>
    <w:sectPr w:rsidR="00F50219" w:rsidRPr="00743B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75D6"/>
    <w:multiLevelType w:val="hybridMultilevel"/>
    <w:tmpl w:val="5B8441E8"/>
    <w:lvl w:ilvl="0" w:tplc="040C0013">
      <w:start w:val="1"/>
      <w:numFmt w:val="upperRoman"/>
      <w:lvlText w:val="%1."/>
      <w:lvlJc w:val="right"/>
      <w:pPr>
        <w:ind w:left="1211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265AA"/>
    <w:multiLevelType w:val="hybridMultilevel"/>
    <w:tmpl w:val="355A3B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4026BC"/>
    <w:multiLevelType w:val="multilevel"/>
    <w:tmpl w:val="65A03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A9755D"/>
    <w:multiLevelType w:val="hybridMultilevel"/>
    <w:tmpl w:val="9B769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E040C"/>
    <w:multiLevelType w:val="hybridMultilevel"/>
    <w:tmpl w:val="B3D441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9B0181"/>
    <w:multiLevelType w:val="multilevel"/>
    <w:tmpl w:val="CF385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2244F5"/>
    <w:multiLevelType w:val="multilevel"/>
    <w:tmpl w:val="428A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B70C0F"/>
    <w:multiLevelType w:val="hybridMultilevel"/>
    <w:tmpl w:val="494A05B6"/>
    <w:lvl w:ilvl="0" w:tplc="040C000F">
      <w:start w:val="1"/>
      <w:numFmt w:val="decimal"/>
      <w:lvlText w:val="%1."/>
      <w:lvlJc w:val="lef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104E6"/>
    <w:multiLevelType w:val="hybridMultilevel"/>
    <w:tmpl w:val="F2DA2DDA"/>
    <w:lvl w:ilvl="0" w:tplc="5E4612E2">
      <w:start w:val="1"/>
      <w:numFmt w:val="decimal"/>
      <w:lvlText w:val="%1."/>
      <w:lvlJc w:val="left"/>
      <w:pPr>
        <w:ind w:left="1931" w:hanging="360"/>
      </w:pPr>
      <w:rPr>
        <w:color w:val="124F1A" w:themeColor="accent3" w:themeShade="BF"/>
      </w:rPr>
    </w:lvl>
    <w:lvl w:ilvl="1" w:tplc="040C0019" w:tentative="1">
      <w:start w:val="1"/>
      <w:numFmt w:val="lowerLetter"/>
      <w:lvlText w:val="%2."/>
      <w:lvlJc w:val="left"/>
      <w:pPr>
        <w:ind w:left="2651" w:hanging="360"/>
      </w:pPr>
    </w:lvl>
    <w:lvl w:ilvl="2" w:tplc="040C001B" w:tentative="1">
      <w:start w:val="1"/>
      <w:numFmt w:val="lowerRoman"/>
      <w:lvlText w:val="%3."/>
      <w:lvlJc w:val="right"/>
      <w:pPr>
        <w:ind w:left="3371" w:hanging="180"/>
      </w:pPr>
    </w:lvl>
    <w:lvl w:ilvl="3" w:tplc="040C000F" w:tentative="1">
      <w:start w:val="1"/>
      <w:numFmt w:val="decimal"/>
      <w:lvlText w:val="%4."/>
      <w:lvlJc w:val="left"/>
      <w:pPr>
        <w:ind w:left="4091" w:hanging="360"/>
      </w:pPr>
    </w:lvl>
    <w:lvl w:ilvl="4" w:tplc="040C0019" w:tentative="1">
      <w:start w:val="1"/>
      <w:numFmt w:val="lowerLetter"/>
      <w:lvlText w:val="%5."/>
      <w:lvlJc w:val="left"/>
      <w:pPr>
        <w:ind w:left="4811" w:hanging="360"/>
      </w:pPr>
    </w:lvl>
    <w:lvl w:ilvl="5" w:tplc="040C001B" w:tentative="1">
      <w:start w:val="1"/>
      <w:numFmt w:val="lowerRoman"/>
      <w:lvlText w:val="%6."/>
      <w:lvlJc w:val="right"/>
      <w:pPr>
        <w:ind w:left="5531" w:hanging="180"/>
      </w:pPr>
    </w:lvl>
    <w:lvl w:ilvl="6" w:tplc="040C000F" w:tentative="1">
      <w:start w:val="1"/>
      <w:numFmt w:val="decimal"/>
      <w:lvlText w:val="%7."/>
      <w:lvlJc w:val="left"/>
      <w:pPr>
        <w:ind w:left="6251" w:hanging="360"/>
      </w:pPr>
    </w:lvl>
    <w:lvl w:ilvl="7" w:tplc="040C0019" w:tentative="1">
      <w:start w:val="1"/>
      <w:numFmt w:val="lowerLetter"/>
      <w:lvlText w:val="%8."/>
      <w:lvlJc w:val="left"/>
      <w:pPr>
        <w:ind w:left="6971" w:hanging="360"/>
      </w:pPr>
    </w:lvl>
    <w:lvl w:ilvl="8" w:tplc="040C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9" w15:restartNumberingAfterBreak="0">
    <w:nsid w:val="4A113619"/>
    <w:multiLevelType w:val="hybridMultilevel"/>
    <w:tmpl w:val="66BA7E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CE3E82"/>
    <w:multiLevelType w:val="hybridMultilevel"/>
    <w:tmpl w:val="C61837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0930A5"/>
    <w:multiLevelType w:val="multilevel"/>
    <w:tmpl w:val="D0E0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E34B64"/>
    <w:multiLevelType w:val="hybridMultilevel"/>
    <w:tmpl w:val="CB5C23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C7220"/>
    <w:multiLevelType w:val="hybridMultilevel"/>
    <w:tmpl w:val="B5D081E4"/>
    <w:lvl w:ilvl="0" w:tplc="FFFFFFFF">
      <w:start w:val="1"/>
      <w:numFmt w:val="upperRoman"/>
      <w:lvlText w:val="%1."/>
      <w:lvlJc w:val="right"/>
      <w:pPr>
        <w:ind w:left="121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90BA7"/>
    <w:multiLevelType w:val="hybridMultilevel"/>
    <w:tmpl w:val="DFE4C6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4696281">
    <w:abstractNumId w:val="5"/>
  </w:num>
  <w:num w:numId="2" w16cid:durableId="181747391">
    <w:abstractNumId w:val="12"/>
  </w:num>
  <w:num w:numId="3" w16cid:durableId="817303846">
    <w:abstractNumId w:val="0"/>
  </w:num>
  <w:num w:numId="4" w16cid:durableId="619920932">
    <w:abstractNumId w:val="4"/>
  </w:num>
  <w:num w:numId="5" w16cid:durableId="1551459380">
    <w:abstractNumId w:val="6"/>
  </w:num>
  <w:num w:numId="6" w16cid:durableId="273758033">
    <w:abstractNumId w:val="10"/>
  </w:num>
  <w:num w:numId="7" w16cid:durableId="131604268">
    <w:abstractNumId w:val="13"/>
  </w:num>
  <w:num w:numId="8" w16cid:durableId="2021348432">
    <w:abstractNumId w:val="8"/>
  </w:num>
  <w:num w:numId="9" w16cid:durableId="1210457953">
    <w:abstractNumId w:val="7"/>
  </w:num>
  <w:num w:numId="10" w16cid:durableId="1602377670">
    <w:abstractNumId w:val="11"/>
  </w:num>
  <w:num w:numId="11" w16cid:durableId="1568954457">
    <w:abstractNumId w:val="2"/>
  </w:num>
  <w:num w:numId="12" w16cid:durableId="1231111875">
    <w:abstractNumId w:val="14"/>
  </w:num>
  <w:num w:numId="13" w16cid:durableId="877397624">
    <w:abstractNumId w:val="9"/>
  </w:num>
  <w:num w:numId="14" w16cid:durableId="1014071261">
    <w:abstractNumId w:val="1"/>
  </w:num>
  <w:num w:numId="15" w16cid:durableId="361446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37"/>
    <w:rsid w:val="00095FD8"/>
    <w:rsid w:val="000A1DBF"/>
    <w:rsid w:val="00192F0A"/>
    <w:rsid w:val="002B055D"/>
    <w:rsid w:val="00344F2B"/>
    <w:rsid w:val="005156D1"/>
    <w:rsid w:val="00692BC6"/>
    <w:rsid w:val="00743B19"/>
    <w:rsid w:val="00791F60"/>
    <w:rsid w:val="008E751C"/>
    <w:rsid w:val="00B16B37"/>
    <w:rsid w:val="00BA410D"/>
    <w:rsid w:val="00E22232"/>
    <w:rsid w:val="00F5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3C9A6"/>
  <w15:chartTrackingRefBased/>
  <w15:docId w15:val="{4A8D55F1-EC8A-43AE-8C39-BD020A31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B16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16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16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16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16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16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16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16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16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16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B16B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B16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B16B37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B16B37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B16B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B16B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B16B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B16B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B16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B16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16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16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16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B16B3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B16B37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B16B37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16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16B37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B16B37"/>
    <w:rPr>
      <w:b/>
      <w:bCs/>
      <w:smallCaps/>
      <w:color w:val="0F4761" w:themeColor="accent1" w:themeShade="BF"/>
      <w:spacing w:val="5"/>
    </w:rPr>
  </w:style>
  <w:style w:type="character" w:styleId="lev">
    <w:name w:val="Strong"/>
    <w:basedOn w:val="Policepardfaut"/>
    <w:uiPriority w:val="22"/>
    <w:qFormat/>
    <w:rsid w:val="00192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2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923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SOADE.LBADAOUI</dc:creator>
  <cp:keywords/>
  <dc:description/>
  <cp:lastModifiedBy>hp</cp:lastModifiedBy>
  <cp:revision>3</cp:revision>
  <dcterms:created xsi:type="dcterms:W3CDTF">2025-01-31T09:32:00Z</dcterms:created>
  <dcterms:modified xsi:type="dcterms:W3CDTF">2025-01-31T09:58:00Z</dcterms:modified>
</cp:coreProperties>
</file>