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4F85B" w14:textId="77777777" w:rsidR="00D81301" w:rsidRPr="00AF66AE" w:rsidRDefault="00D81301" w:rsidP="00D81301">
      <w:pPr>
        <w:spacing w:line="331" w:lineRule="auto"/>
        <w:ind w:right="320"/>
        <w:rPr>
          <w:sz w:val="20"/>
          <w:szCs w:val="20"/>
        </w:rPr>
      </w:pPr>
      <w:bookmarkStart w:id="0" w:name="_GoBack"/>
      <w:bookmarkEnd w:id="0"/>
      <w:r w:rsidRPr="00AF66AE">
        <w:rPr>
          <w:rFonts w:ascii="Arial" w:eastAsia="Arial" w:hAnsi="Arial" w:cs="Arial"/>
          <w:b/>
          <w:bCs/>
          <w:color w:val="A99791"/>
          <w:sz w:val="36"/>
          <w:szCs w:val="36"/>
        </w:rPr>
        <w:t>Traitement d</w:t>
      </w:r>
      <w:r>
        <w:rPr>
          <w:rFonts w:ascii="Arial" w:eastAsia="Arial" w:hAnsi="Arial" w:cs="Arial"/>
          <w:b/>
          <w:bCs/>
          <w:color w:val="A99791"/>
          <w:sz w:val="36"/>
          <w:szCs w:val="36"/>
        </w:rPr>
        <w:t>es troubles des conduites alimentaires : état actuel, défis et futures orientations.</w:t>
      </w:r>
    </w:p>
    <w:p w14:paraId="135066B4" w14:textId="77777777" w:rsidR="00D81301" w:rsidRDefault="00D81301" w:rsidP="00D81301">
      <w:pPr>
        <w:spacing w:line="271" w:lineRule="exact"/>
        <w:rPr>
          <w:rFonts w:asciiTheme="majorBidi" w:hAnsiTheme="majorBidi" w:cstheme="majorBidi"/>
          <w:b/>
          <w:bCs/>
          <w:color w:val="CC0000"/>
          <w:sz w:val="28"/>
          <w:szCs w:val="28"/>
        </w:rPr>
      </w:pPr>
    </w:p>
    <w:p w14:paraId="7C681E7D" w14:textId="77777777" w:rsidR="00D81301" w:rsidRDefault="00D81301" w:rsidP="006A1830">
      <w:pPr>
        <w:spacing w:line="271" w:lineRule="exact"/>
        <w:ind w:left="708"/>
        <w:rPr>
          <w:rFonts w:asciiTheme="majorBidi" w:hAnsiTheme="majorBidi" w:cstheme="majorBidi"/>
          <w:b/>
          <w:bCs/>
          <w:color w:val="CC0000"/>
          <w:sz w:val="28"/>
          <w:szCs w:val="28"/>
        </w:rPr>
      </w:pPr>
    </w:p>
    <w:p w14:paraId="22FA11EA" w14:textId="77777777" w:rsidR="00570950" w:rsidRDefault="00570950" w:rsidP="006A1830">
      <w:pPr>
        <w:spacing w:line="271" w:lineRule="exact"/>
        <w:ind w:left="708"/>
        <w:rPr>
          <w:rFonts w:asciiTheme="majorBidi" w:hAnsiTheme="majorBidi" w:cstheme="majorBidi"/>
          <w:b/>
          <w:bCs/>
          <w:color w:val="CC0000"/>
          <w:sz w:val="28"/>
          <w:szCs w:val="28"/>
        </w:rPr>
      </w:pPr>
    </w:p>
    <w:p w14:paraId="03FE62A4" w14:textId="6E2D101E" w:rsidR="00D81301" w:rsidRPr="00D81301" w:rsidRDefault="006A1830" w:rsidP="00D81301">
      <w:pPr>
        <w:spacing w:line="271" w:lineRule="exact"/>
        <w:ind w:left="708"/>
        <w:rPr>
          <w:rFonts w:asciiTheme="majorBidi" w:hAnsiTheme="majorBidi" w:cstheme="majorBidi"/>
          <w:b/>
          <w:bCs/>
          <w:color w:val="CC0000"/>
          <w:sz w:val="28"/>
          <w:szCs w:val="28"/>
        </w:rPr>
      </w:pPr>
      <w:r w:rsidRPr="002E046B">
        <w:rPr>
          <w:rFonts w:asciiTheme="majorBidi" w:hAnsiTheme="majorBidi" w:cstheme="majorBidi"/>
          <w:b/>
          <w:bCs/>
          <w:color w:val="CC0000"/>
          <w:sz w:val="28"/>
          <w:szCs w:val="28"/>
        </w:rPr>
        <w:t>INTRODUCTION </w:t>
      </w:r>
    </w:p>
    <w:p w14:paraId="6967F8C8" w14:textId="77777777" w:rsidR="00570950" w:rsidRDefault="00570950" w:rsidP="006A1830">
      <w:pPr>
        <w:spacing w:line="271" w:lineRule="exact"/>
        <w:rPr>
          <w:rFonts w:asciiTheme="minorHAnsi" w:hAnsiTheme="minorHAnsi"/>
          <w:sz w:val="20"/>
          <w:szCs w:val="20"/>
        </w:rPr>
      </w:pPr>
    </w:p>
    <w:p w14:paraId="63F54064" w14:textId="77777777" w:rsidR="00570950" w:rsidRDefault="00570950" w:rsidP="006A1830">
      <w:pPr>
        <w:spacing w:line="271" w:lineRule="exact"/>
        <w:rPr>
          <w:rFonts w:asciiTheme="minorHAnsi" w:hAnsiTheme="minorHAnsi"/>
          <w:sz w:val="20"/>
          <w:szCs w:val="20"/>
        </w:rPr>
      </w:pPr>
    </w:p>
    <w:p w14:paraId="1CDB976B" w14:textId="51A7D149" w:rsidR="006A1830" w:rsidRDefault="006A1830" w:rsidP="006A1830">
      <w:pPr>
        <w:spacing w:line="271" w:lineRule="exact"/>
        <w:rPr>
          <w:rFonts w:asciiTheme="minorHAnsi" w:hAnsiTheme="minorHAnsi"/>
          <w:sz w:val="20"/>
          <w:szCs w:val="20"/>
        </w:rPr>
      </w:pPr>
      <w:r w:rsidRPr="006A1830">
        <w:rPr>
          <w:rFonts w:asciiTheme="minorHAnsi" w:hAnsiTheme="minorHAnsi"/>
          <w:sz w:val="20"/>
          <w:szCs w:val="20"/>
        </w:rPr>
        <w:t xml:space="preserve">L'article propose une synthèse critique des traitements des troubles de l'alimentation (TA), sans </w:t>
      </w:r>
      <w:r w:rsidR="0070090B">
        <w:rPr>
          <w:rFonts w:asciiTheme="minorHAnsi" w:hAnsiTheme="minorHAnsi"/>
          <w:sz w:val="20"/>
          <w:szCs w:val="20"/>
        </w:rPr>
        <w:t>être</w:t>
      </w:r>
      <w:r w:rsidRPr="006A1830">
        <w:rPr>
          <w:rFonts w:asciiTheme="minorHAnsi" w:hAnsiTheme="minorHAnsi"/>
          <w:sz w:val="20"/>
          <w:szCs w:val="20"/>
        </w:rPr>
        <w:t xml:space="preserve"> une revue systématique exhaustive. Il souligne la croissance des revues et méta-analyses sur ce sujet, qui dépassent même le nombre d'essais contrôlés récents. En examinant les travaux de </w:t>
      </w:r>
      <w:proofErr w:type="spellStart"/>
      <w:r w:rsidRPr="006A1830">
        <w:rPr>
          <w:rFonts w:asciiTheme="minorHAnsi" w:hAnsiTheme="minorHAnsi"/>
          <w:sz w:val="20"/>
          <w:szCs w:val="20"/>
        </w:rPr>
        <w:t>Kaidesoja</w:t>
      </w:r>
      <w:proofErr w:type="spellEnd"/>
      <w:r w:rsidRPr="006A1830">
        <w:rPr>
          <w:rFonts w:asciiTheme="minorHAnsi" w:hAnsiTheme="minorHAnsi"/>
          <w:sz w:val="20"/>
          <w:szCs w:val="20"/>
        </w:rPr>
        <w:t xml:space="preserve"> et al. (2023), il est mentionné que 44 revues systématiques ont été identifiées, dont 21 méta-analyses de qualité variable. Bien que les méta-analyses puissent résumer des données issues de multiples études, elles peuvent également omettre des détails cruciaux, entraînant des conclusions erronées (Lock et al. 2019). L'article évoque des biais potentiels dans la recherche et rappelle la critique d'Eysenck (1978) sur les méta-analyses</w:t>
      </w:r>
      <w:r>
        <w:rPr>
          <w:rFonts w:asciiTheme="minorHAnsi" w:hAnsiTheme="minorHAnsi"/>
          <w:sz w:val="20"/>
          <w:szCs w:val="20"/>
        </w:rPr>
        <w:t xml:space="preserve"> </w:t>
      </w:r>
      <w:r w:rsidRPr="006A1830">
        <w:rPr>
          <w:rFonts w:asciiTheme="minorHAnsi" w:hAnsiTheme="minorHAnsi"/>
          <w:sz w:val="20"/>
          <w:szCs w:val="20"/>
        </w:rPr>
        <w:t xml:space="preserve">soulevant </w:t>
      </w:r>
      <w:r>
        <w:rPr>
          <w:rFonts w:asciiTheme="minorHAnsi" w:hAnsiTheme="minorHAnsi"/>
          <w:sz w:val="20"/>
          <w:szCs w:val="20"/>
        </w:rPr>
        <w:t xml:space="preserve">ainsi </w:t>
      </w:r>
      <w:r w:rsidRPr="006A1830">
        <w:rPr>
          <w:rFonts w:asciiTheme="minorHAnsi" w:hAnsiTheme="minorHAnsi"/>
          <w:sz w:val="20"/>
          <w:szCs w:val="20"/>
        </w:rPr>
        <w:t>des préoccupations sur la qualité des données utilisées. Enfin, il met en lumière les limites des méta-analyses tout en reconnaissant leur valeur potentielle (Nelson et al. 2018; Weisz et al. 2023).</w:t>
      </w:r>
    </w:p>
    <w:p w14:paraId="74020534" w14:textId="77777777" w:rsidR="006A1830" w:rsidRDefault="006A1830" w:rsidP="006A1830">
      <w:pPr>
        <w:spacing w:line="271" w:lineRule="exact"/>
        <w:rPr>
          <w:rFonts w:asciiTheme="minorHAnsi" w:hAnsiTheme="minorHAnsi"/>
          <w:sz w:val="20"/>
          <w:szCs w:val="20"/>
        </w:rPr>
      </w:pPr>
    </w:p>
    <w:p w14:paraId="0C0D2922" w14:textId="77777777" w:rsidR="002E046B" w:rsidRDefault="002E046B" w:rsidP="002E046B">
      <w:pPr>
        <w:rPr>
          <w:rFonts w:asciiTheme="majorBidi" w:hAnsiTheme="majorBidi" w:cstheme="majorBidi"/>
          <w:color w:val="CC0000"/>
          <w:sz w:val="28"/>
          <w:szCs w:val="28"/>
        </w:rPr>
      </w:pPr>
    </w:p>
    <w:p w14:paraId="445ACDC4" w14:textId="37C7EE49" w:rsidR="004A04C8" w:rsidRPr="002E046B" w:rsidRDefault="004A04C8" w:rsidP="002E046B">
      <w:pPr>
        <w:rPr>
          <w:rFonts w:asciiTheme="majorBidi" w:eastAsia="Arial" w:hAnsiTheme="majorBidi" w:cstheme="majorBidi"/>
          <w:b/>
          <w:bCs/>
          <w:color w:val="CC0000"/>
          <w:sz w:val="28"/>
          <w:szCs w:val="28"/>
        </w:rPr>
      </w:pPr>
      <w:r w:rsidRPr="002E046B">
        <w:rPr>
          <w:rFonts w:asciiTheme="majorBidi" w:eastAsia="Arial" w:hAnsiTheme="majorBidi" w:cstheme="majorBidi"/>
          <w:b/>
          <w:bCs/>
          <w:color w:val="CC0000"/>
          <w:sz w:val="28"/>
          <w:szCs w:val="28"/>
        </w:rPr>
        <w:t>TROUBLES DES CONDUITES ALIMENTAIRES :</w:t>
      </w:r>
    </w:p>
    <w:p w14:paraId="75D06772" w14:textId="571D692A" w:rsidR="004A04C8" w:rsidRPr="002E046B" w:rsidRDefault="004A04C8" w:rsidP="004A04C8">
      <w:pPr>
        <w:rPr>
          <w:rFonts w:asciiTheme="majorBidi" w:eastAsia="Arial" w:hAnsiTheme="majorBidi" w:cstheme="majorBidi"/>
          <w:color w:val="CC0000"/>
          <w:sz w:val="28"/>
          <w:szCs w:val="28"/>
        </w:rPr>
      </w:pPr>
      <w:r w:rsidRPr="002E046B">
        <w:rPr>
          <w:rFonts w:asciiTheme="majorBidi" w:eastAsia="Arial" w:hAnsiTheme="majorBidi" w:cstheme="majorBidi"/>
          <w:color w:val="CC0000"/>
          <w:sz w:val="28"/>
          <w:szCs w:val="28"/>
        </w:rPr>
        <w:t>Classification diagnostique :</w:t>
      </w:r>
    </w:p>
    <w:p w14:paraId="0F692968" w14:textId="0BC3A6A1" w:rsidR="004A04C8" w:rsidRPr="000B20C7" w:rsidRDefault="004A04C8" w:rsidP="004A04C8">
      <w:pPr>
        <w:pStyle w:val="NormalWeb"/>
        <w:rPr>
          <w:rFonts w:asciiTheme="minorHAnsi" w:hAnsiTheme="minorHAnsi"/>
          <w:sz w:val="20"/>
          <w:szCs w:val="20"/>
        </w:rPr>
      </w:pPr>
      <w:r w:rsidRPr="000B20C7">
        <w:rPr>
          <w:rFonts w:asciiTheme="minorHAnsi" w:hAnsiTheme="minorHAnsi"/>
          <w:sz w:val="20"/>
          <w:szCs w:val="20"/>
        </w:rPr>
        <w:t xml:space="preserve">Les troubles des conduites alimentaires (TCA) englobent des comportements alimentaires, des cognitions liées au poids et à la forme qui perturbent le fonctionnement biopsychosocial. Les critères diagnostiques ont été récemment mis à jour par l'American </w:t>
      </w:r>
      <w:proofErr w:type="spellStart"/>
      <w:r w:rsidRPr="000B20C7">
        <w:rPr>
          <w:rFonts w:asciiTheme="minorHAnsi" w:hAnsiTheme="minorHAnsi"/>
          <w:sz w:val="20"/>
          <w:szCs w:val="20"/>
        </w:rPr>
        <w:t>Psychiatric</w:t>
      </w:r>
      <w:proofErr w:type="spellEnd"/>
      <w:r w:rsidRPr="000B20C7">
        <w:rPr>
          <w:rFonts w:asciiTheme="minorHAnsi" w:hAnsiTheme="minorHAnsi"/>
          <w:sz w:val="20"/>
          <w:szCs w:val="20"/>
        </w:rPr>
        <w:t xml:space="preserve"> Association dans le DSM-5 (2013) et par l'Organisation mondiale de la santé dans la CIM-11 (2019), après des décennies de recherche et de débats (Stein et al. 2020; Walsh 2019).</w:t>
      </w:r>
    </w:p>
    <w:p w14:paraId="7E08E91D" w14:textId="4571432B" w:rsidR="004A04C8" w:rsidRDefault="004A04C8" w:rsidP="004A04C8">
      <w:pPr>
        <w:pStyle w:val="NormalWeb"/>
      </w:pPr>
      <w:r w:rsidRPr="000B20C7">
        <w:rPr>
          <w:rFonts w:asciiTheme="minorHAnsi" w:hAnsiTheme="minorHAnsi"/>
          <w:sz w:val="20"/>
          <w:szCs w:val="20"/>
        </w:rPr>
        <w:t>Cette revue se concentre principalement sur l'AM, la Boulimie et le BED, sans aborder les autres diagnostics. L'ARFID, par exemple, se définit par un évitement de la nourriture sans lien avec les préoccupations de poids ou d'image corporelle (</w:t>
      </w:r>
      <w:proofErr w:type="spellStart"/>
      <w:r w:rsidRPr="000B20C7">
        <w:rPr>
          <w:rFonts w:asciiTheme="minorHAnsi" w:hAnsiTheme="minorHAnsi"/>
          <w:sz w:val="20"/>
          <w:szCs w:val="20"/>
        </w:rPr>
        <w:t>Grilo</w:t>
      </w:r>
      <w:proofErr w:type="spellEnd"/>
      <w:r w:rsidRPr="000B20C7">
        <w:rPr>
          <w:rFonts w:asciiTheme="minorHAnsi" w:hAnsiTheme="minorHAnsi"/>
          <w:sz w:val="20"/>
          <w:szCs w:val="20"/>
        </w:rPr>
        <w:t xml:space="preserve"> 2013). L'obésité, bien qu'elle soit un diagnostic médical, n'est pas considérée comme un TCA, même si les patients atteint de boulimie et de BED présentent un risque accru d'obésité, avec des caractéristiques comportementales et psychologiques distinctes (Boswell et al. 2021).</w:t>
      </w:r>
    </w:p>
    <w:p w14:paraId="78D572A1" w14:textId="77777777" w:rsidR="006A1830" w:rsidRPr="006A1830" w:rsidRDefault="006A1830" w:rsidP="006A1830">
      <w:pPr>
        <w:spacing w:line="271" w:lineRule="exact"/>
        <w:rPr>
          <w:rFonts w:asciiTheme="majorBidi" w:hAnsiTheme="majorBidi" w:cstheme="majorBidi"/>
          <w:color w:val="CC0000"/>
          <w:sz w:val="28"/>
          <w:szCs w:val="28"/>
        </w:rPr>
      </w:pPr>
    </w:p>
    <w:p w14:paraId="05AFFAA8" w14:textId="61730760" w:rsidR="002024B9" w:rsidRPr="002024B9" w:rsidRDefault="002024B9" w:rsidP="002024B9">
      <w:pPr>
        <w:rPr>
          <w:b/>
          <w:bCs/>
          <w:color w:val="CC0000"/>
          <w:sz w:val="24"/>
          <w:szCs w:val="24"/>
        </w:rPr>
      </w:pPr>
      <w:r w:rsidRPr="002024B9">
        <w:rPr>
          <w:b/>
          <w:bCs/>
          <w:color w:val="CC0000"/>
          <w:sz w:val="24"/>
          <w:szCs w:val="24"/>
        </w:rPr>
        <w:t xml:space="preserve">TRAITEMENTS </w:t>
      </w:r>
      <w:r w:rsidR="00BF3D9A">
        <w:rPr>
          <w:b/>
          <w:bCs/>
          <w:color w:val="CC0000"/>
          <w:sz w:val="24"/>
          <w:szCs w:val="24"/>
        </w:rPr>
        <w:t>POUR</w:t>
      </w:r>
      <w:r w:rsidRPr="002024B9">
        <w:rPr>
          <w:b/>
          <w:bCs/>
          <w:color w:val="CC0000"/>
          <w:sz w:val="24"/>
          <w:szCs w:val="24"/>
        </w:rPr>
        <w:t xml:space="preserve"> L'ANOREXIE </w:t>
      </w:r>
      <w:r w:rsidR="00E229FA">
        <w:rPr>
          <w:b/>
          <w:bCs/>
          <w:color w:val="CC0000"/>
          <w:sz w:val="24"/>
          <w:szCs w:val="24"/>
        </w:rPr>
        <w:t xml:space="preserve">MENTALE </w:t>
      </w:r>
      <w:r>
        <w:rPr>
          <w:b/>
          <w:bCs/>
          <w:color w:val="CC0000"/>
          <w:sz w:val="24"/>
          <w:szCs w:val="24"/>
        </w:rPr>
        <w:t>:</w:t>
      </w:r>
    </w:p>
    <w:p w14:paraId="04CE387F" w14:textId="77777777" w:rsidR="002024B9" w:rsidRDefault="002024B9" w:rsidP="002024B9">
      <w:pPr>
        <w:rPr>
          <w:rFonts w:asciiTheme="minorHAnsi" w:hAnsiTheme="minorHAnsi"/>
        </w:rPr>
      </w:pPr>
    </w:p>
    <w:p w14:paraId="4B2FBA86" w14:textId="383282BC" w:rsidR="002024B9" w:rsidRDefault="002024B9" w:rsidP="002024B9">
      <w:pPr>
        <w:rPr>
          <w:rFonts w:asciiTheme="minorHAnsi" w:hAnsiTheme="minorHAnsi"/>
          <w:sz w:val="20"/>
          <w:szCs w:val="20"/>
        </w:rPr>
      </w:pPr>
      <w:r w:rsidRPr="002024B9">
        <w:rPr>
          <w:rFonts w:asciiTheme="minorHAnsi" w:hAnsiTheme="minorHAnsi"/>
          <w:sz w:val="20"/>
          <w:szCs w:val="20"/>
        </w:rPr>
        <w:t>Contrairement aux traitements de la boulimie et de l'hyperphagie boulimique, souvent réalisés en ambulatoire, ceux de l'anorexie nerveuse (AN) nécessitent souvent une hospitalisation. Celle-ci est indiquée pour des poids très bas (IMC &lt; 15) et des problèmes médicaux graves, comme des arythmies, des anomalies électrolytiques, et la déshydratation, ainsi que pour des troubles psychiatriques sévères (Mehler et al. 2015).</w:t>
      </w:r>
    </w:p>
    <w:p w14:paraId="2857048E" w14:textId="77777777" w:rsidR="002E046B" w:rsidRPr="002024B9" w:rsidRDefault="002E046B" w:rsidP="002024B9">
      <w:pPr>
        <w:rPr>
          <w:rFonts w:asciiTheme="minorHAnsi" w:hAnsiTheme="minorHAnsi"/>
          <w:sz w:val="20"/>
          <w:szCs w:val="20"/>
        </w:rPr>
      </w:pPr>
    </w:p>
    <w:p w14:paraId="6815AA51" w14:textId="77777777" w:rsidR="0070090B" w:rsidRPr="00456CA0" w:rsidRDefault="002024B9" w:rsidP="0070090B">
      <w:pPr>
        <w:rPr>
          <w:rFonts w:asciiTheme="majorBidi" w:eastAsia="Arial" w:hAnsiTheme="majorBidi" w:cstheme="majorBidi"/>
          <w:color w:val="CC0000"/>
        </w:rPr>
      </w:pPr>
      <w:r w:rsidRPr="00456CA0">
        <w:rPr>
          <w:rFonts w:asciiTheme="majorBidi" w:eastAsia="Arial" w:hAnsiTheme="majorBidi" w:cstheme="majorBidi"/>
          <w:color w:val="CC0000"/>
        </w:rPr>
        <w:t>Traitements psychologiques :</w:t>
      </w:r>
    </w:p>
    <w:p w14:paraId="224622C4" w14:textId="46AF85A9" w:rsidR="0070090B" w:rsidRPr="0070090B" w:rsidRDefault="002E046B" w:rsidP="0070090B">
      <w:pPr>
        <w:rPr>
          <w:rFonts w:asciiTheme="majorBidi" w:eastAsia="Arial" w:hAnsiTheme="majorBidi" w:cstheme="majorBidi"/>
          <w:b/>
          <w:bCs/>
          <w:color w:val="CC0000"/>
        </w:rPr>
      </w:pPr>
      <w:r w:rsidRPr="002E046B">
        <w:rPr>
          <w:rFonts w:asciiTheme="minorHAnsi" w:hAnsiTheme="minorHAnsi"/>
          <w:sz w:val="20"/>
          <w:szCs w:val="20"/>
        </w:rPr>
        <w:t xml:space="preserve">Il existe un consensus fort sur le fait que le traitement psychologique est l'approche principale pour </w:t>
      </w:r>
      <w:r w:rsidR="0070090B" w:rsidRPr="0070090B">
        <w:rPr>
          <w:rFonts w:asciiTheme="minorHAnsi" w:hAnsiTheme="minorHAnsi"/>
          <w:sz w:val="20"/>
          <w:szCs w:val="20"/>
        </w:rPr>
        <w:t>Le traitement psychologique est considéré comme l'approche principale pour l'anorexie mentale (AM), complémentaire à la restauration du poids et à la stabilisation médicale. Cela est dû à la nature égo-</w:t>
      </w:r>
      <w:proofErr w:type="spellStart"/>
      <w:r w:rsidR="0070090B" w:rsidRPr="0070090B">
        <w:rPr>
          <w:rFonts w:asciiTheme="minorHAnsi" w:hAnsiTheme="minorHAnsi"/>
          <w:sz w:val="20"/>
          <w:szCs w:val="20"/>
        </w:rPr>
        <w:lastRenderedPageBreak/>
        <w:t>syntonique</w:t>
      </w:r>
      <w:proofErr w:type="spellEnd"/>
      <w:r w:rsidR="0070090B" w:rsidRPr="0070090B">
        <w:rPr>
          <w:rFonts w:asciiTheme="minorHAnsi" w:hAnsiTheme="minorHAnsi"/>
          <w:sz w:val="20"/>
          <w:szCs w:val="20"/>
        </w:rPr>
        <w:t xml:space="preserve"> de la maladie, au déni souvent présent, aux troubles de l'image corporelle et à l'évolution réfractaire de nombreux cas (Walsh et al. 2021). </w:t>
      </w:r>
    </w:p>
    <w:p w14:paraId="3C3AC5F6" w14:textId="380C308E" w:rsidR="002E046B" w:rsidRDefault="0070090B" w:rsidP="0070090B">
      <w:pPr>
        <w:pStyle w:val="NormalWeb"/>
        <w:rPr>
          <w:rFonts w:asciiTheme="minorHAnsi" w:hAnsiTheme="minorHAnsi"/>
          <w:sz w:val="20"/>
          <w:szCs w:val="20"/>
        </w:rPr>
      </w:pPr>
      <w:r w:rsidRPr="0070090B">
        <w:rPr>
          <w:rFonts w:asciiTheme="minorHAnsi" w:hAnsiTheme="minorHAnsi"/>
          <w:sz w:val="20"/>
          <w:szCs w:val="20"/>
        </w:rPr>
        <w:t xml:space="preserve">La thérapie familiale spécifique (FBT), basée sur la méthode de l'hôpital </w:t>
      </w:r>
      <w:proofErr w:type="spellStart"/>
      <w:r w:rsidRPr="0070090B">
        <w:rPr>
          <w:rFonts w:asciiTheme="minorHAnsi" w:hAnsiTheme="minorHAnsi"/>
          <w:sz w:val="20"/>
          <w:szCs w:val="20"/>
        </w:rPr>
        <w:t>Maudsley</w:t>
      </w:r>
      <w:proofErr w:type="spellEnd"/>
      <w:r w:rsidRPr="0070090B">
        <w:rPr>
          <w:rFonts w:asciiTheme="minorHAnsi" w:hAnsiTheme="minorHAnsi"/>
          <w:sz w:val="20"/>
          <w:szCs w:val="20"/>
        </w:rPr>
        <w:t>, est l'intervention de premier plan pour les enfants et adolescents (Hilbert et al. 2017; NICE 2017). Un essai contrôlé randomisé (ECR) a montré que 89 % des adolescents ayant suivi la FBT ont connu une rémission partielle, avec de meilleurs résultats en termes de poids et de psychopathologie par rapport à la psychothérapie individuelle (Lock et al. 2010).</w:t>
      </w:r>
    </w:p>
    <w:p w14:paraId="163F7606" w14:textId="77777777" w:rsidR="0070090B" w:rsidRPr="0070090B" w:rsidRDefault="0070090B" w:rsidP="0070090B">
      <w:pPr>
        <w:pStyle w:val="NormalWeb"/>
        <w:rPr>
          <w:rFonts w:asciiTheme="minorHAnsi" w:hAnsiTheme="minorHAnsi"/>
          <w:sz w:val="20"/>
          <w:szCs w:val="20"/>
        </w:rPr>
      </w:pPr>
      <w:r w:rsidRPr="0070090B">
        <w:rPr>
          <w:rFonts w:asciiTheme="minorHAnsi" w:hAnsiTheme="minorHAnsi"/>
          <w:sz w:val="20"/>
          <w:szCs w:val="20"/>
        </w:rPr>
        <w:t xml:space="preserve">La thérapie comportementale familiale (TCF) a également montré son efficacité. Pour les adultes, le modèle </w:t>
      </w:r>
      <w:proofErr w:type="spellStart"/>
      <w:r w:rsidRPr="0070090B">
        <w:rPr>
          <w:rFonts w:asciiTheme="minorHAnsi" w:hAnsiTheme="minorHAnsi"/>
          <w:sz w:val="20"/>
          <w:szCs w:val="20"/>
        </w:rPr>
        <w:t>Maudsley</w:t>
      </w:r>
      <w:proofErr w:type="spellEnd"/>
      <w:r w:rsidRPr="0070090B">
        <w:rPr>
          <w:rFonts w:asciiTheme="minorHAnsi" w:hAnsiTheme="minorHAnsi"/>
          <w:sz w:val="20"/>
          <w:szCs w:val="20"/>
        </w:rPr>
        <w:t xml:space="preserve"> d'AM (MANTRA) et la TCC améliorée (TCC-E) sont recommandés, avec des résultats similaires (Byrne et al. 2017; Schmidt et al. 2015).</w:t>
      </w:r>
    </w:p>
    <w:p w14:paraId="1B9F8DB0" w14:textId="77777777" w:rsidR="0070090B" w:rsidRPr="0070090B" w:rsidRDefault="0070090B" w:rsidP="0070090B">
      <w:pPr>
        <w:pStyle w:val="NormalWeb"/>
        <w:rPr>
          <w:rFonts w:asciiTheme="minorHAnsi" w:hAnsiTheme="minorHAnsi"/>
          <w:sz w:val="20"/>
          <w:szCs w:val="20"/>
        </w:rPr>
      </w:pPr>
      <w:r w:rsidRPr="0070090B">
        <w:rPr>
          <w:rFonts w:asciiTheme="minorHAnsi" w:hAnsiTheme="minorHAnsi"/>
          <w:sz w:val="20"/>
          <w:szCs w:val="20"/>
        </w:rPr>
        <w:t>Une étude a révélé que 31 à 41 % des adultes avaient encore un IMC inférieur à 17,5 après 10 mois de traitement (</w:t>
      </w:r>
      <w:proofErr w:type="spellStart"/>
      <w:r w:rsidRPr="0070090B">
        <w:rPr>
          <w:rFonts w:asciiTheme="minorHAnsi" w:hAnsiTheme="minorHAnsi"/>
          <w:sz w:val="20"/>
          <w:szCs w:val="20"/>
        </w:rPr>
        <w:t>Zipfel</w:t>
      </w:r>
      <w:proofErr w:type="spellEnd"/>
      <w:r w:rsidRPr="0070090B">
        <w:rPr>
          <w:rFonts w:asciiTheme="minorHAnsi" w:hAnsiTheme="minorHAnsi"/>
          <w:sz w:val="20"/>
          <w:szCs w:val="20"/>
        </w:rPr>
        <w:t xml:space="preserve"> et al. 2014), soulignant les défis persistants. Les traitements optimisés, combinant psychothérapie et soins structurés, pourraient offrir une alternative viable.</w:t>
      </w:r>
    </w:p>
    <w:p w14:paraId="742F439E" w14:textId="77777777" w:rsidR="0070090B" w:rsidRDefault="0070090B" w:rsidP="0070090B">
      <w:pPr>
        <w:pStyle w:val="NormalWeb"/>
        <w:rPr>
          <w:rFonts w:asciiTheme="minorHAnsi" w:hAnsiTheme="minorHAnsi"/>
          <w:sz w:val="20"/>
          <w:szCs w:val="20"/>
        </w:rPr>
      </w:pPr>
    </w:p>
    <w:p w14:paraId="0D72EAB4" w14:textId="51F4CF77" w:rsidR="002E046B" w:rsidRPr="0070090B" w:rsidRDefault="002E046B" w:rsidP="002E046B">
      <w:pPr>
        <w:pStyle w:val="NormalWeb"/>
        <w:rPr>
          <w:rFonts w:asciiTheme="majorBidi" w:hAnsiTheme="majorBidi" w:cstheme="majorBidi"/>
          <w:color w:val="CC0000"/>
          <w:sz w:val="32"/>
          <w:szCs w:val="32"/>
        </w:rPr>
      </w:pPr>
      <w:r w:rsidRPr="0070090B">
        <w:rPr>
          <w:rFonts w:asciiTheme="majorBidi" w:eastAsia="Arial" w:hAnsiTheme="majorBidi" w:cstheme="majorBidi"/>
          <w:color w:val="CC0000"/>
        </w:rPr>
        <w:t>Traitements pharmacologiques :</w:t>
      </w:r>
    </w:p>
    <w:p w14:paraId="7057D471" w14:textId="77777777" w:rsidR="002E046B" w:rsidRPr="002E046B" w:rsidRDefault="002E046B" w:rsidP="002E046B">
      <w:pPr>
        <w:pStyle w:val="NormalWeb"/>
        <w:rPr>
          <w:rFonts w:asciiTheme="minorHAnsi" w:hAnsiTheme="minorHAnsi"/>
          <w:sz w:val="20"/>
          <w:szCs w:val="20"/>
        </w:rPr>
      </w:pPr>
      <w:r w:rsidRPr="002E046B">
        <w:rPr>
          <w:rFonts w:asciiTheme="minorHAnsi" w:hAnsiTheme="minorHAnsi"/>
          <w:sz w:val="20"/>
          <w:szCs w:val="20"/>
        </w:rPr>
        <w:t>Aucun médicament n'est approuvé pour l'anorexie nerveuse (AN), et les directives s'accordent à dire qu'aucun n'est recommandé (</w:t>
      </w:r>
      <w:proofErr w:type="spellStart"/>
      <w:r w:rsidRPr="002E046B">
        <w:rPr>
          <w:rFonts w:asciiTheme="minorHAnsi" w:hAnsiTheme="minorHAnsi"/>
          <w:sz w:val="20"/>
          <w:szCs w:val="20"/>
        </w:rPr>
        <w:t>Himmerich</w:t>
      </w:r>
      <w:proofErr w:type="spellEnd"/>
      <w:r w:rsidRPr="002E046B">
        <w:rPr>
          <w:rFonts w:asciiTheme="minorHAnsi" w:hAnsiTheme="minorHAnsi"/>
          <w:sz w:val="20"/>
          <w:szCs w:val="20"/>
        </w:rPr>
        <w:t xml:space="preserve"> et al. 2023, NICE 2017). Bien que les traitements pharmacologiques soient souvent utilisés, les ECR montrent peu d'efficacité par rapport au placebo (</w:t>
      </w:r>
      <w:proofErr w:type="spellStart"/>
      <w:r w:rsidRPr="002E046B">
        <w:rPr>
          <w:rFonts w:asciiTheme="minorHAnsi" w:hAnsiTheme="minorHAnsi"/>
          <w:sz w:val="20"/>
          <w:szCs w:val="20"/>
        </w:rPr>
        <w:t>Clausen</w:t>
      </w:r>
      <w:proofErr w:type="spellEnd"/>
      <w:r w:rsidRPr="002E046B">
        <w:rPr>
          <w:rFonts w:asciiTheme="minorHAnsi" w:hAnsiTheme="minorHAnsi"/>
          <w:sz w:val="20"/>
          <w:szCs w:val="20"/>
        </w:rPr>
        <w:t xml:space="preserve"> et al. 2023). Les difficultés de recherche sont liées à la malnutrition sévère et à la peur de la prise de poids chez les patients (</w:t>
      </w:r>
      <w:proofErr w:type="spellStart"/>
      <w:r w:rsidRPr="002E046B">
        <w:rPr>
          <w:rFonts w:asciiTheme="minorHAnsi" w:hAnsiTheme="minorHAnsi"/>
          <w:sz w:val="20"/>
          <w:szCs w:val="20"/>
        </w:rPr>
        <w:t>Muratore</w:t>
      </w:r>
      <w:proofErr w:type="spellEnd"/>
      <w:r w:rsidRPr="002E046B">
        <w:rPr>
          <w:rFonts w:asciiTheme="minorHAnsi" w:hAnsiTheme="minorHAnsi"/>
          <w:sz w:val="20"/>
          <w:szCs w:val="20"/>
        </w:rPr>
        <w:t xml:space="preserve"> &amp; </w:t>
      </w:r>
      <w:proofErr w:type="spellStart"/>
      <w:r w:rsidRPr="002E046B">
        <w:rPr>
          <w:rFonts w:asciiTheme="minorHAnsi" w:hAnsiTheme="minorHAnsi"/>
          <w:sz w:val="20"/>
          <w:szCs w:val="20"/>
        </w:rPr>
        <w:t>Attia</w:t>
      </w:r>
      <w:proofErr w:type="spellEnd"/>
      <w:r w:rsidRPr="002E046B">
        <w:rPr>
          <w:rFonts w:asciiTheme="minorHAnsi" w:hAnsiTheme="minorHAnsi"/>
          <w:sz w:val="20"/>
          <w:szCs w:val="20"/>
        </w:rPr>
        <w:t xml:space="preserve"> 2021).</w:t>
      </w:r>
    </w:p>
    <w:p w14:paraId="50212790" w14:textId="77777777" w:rsidR="00B02402" w:rsidRDefault="002E046B" w:rsidP="00B02402">
      <w:pPr>
        <w:pStyle w:val="NormalWeb"/>
        <w:rPr>
          <w:rFonts w:asciiTheme="minorHAnsi" w:hAnsiTheme="minorHAnsi"/>
          <w:sz w:val="20"/>
          <w:szCs w:val="20"/>
        </w:rPr>
      </w:pPr>
      <w:r w:rsidRPr="002E046B">
        <w:rPr>
          <w:rFonts w:asciiTheme="minorHAnsi" w:hAnsiTheme="minorHAnsi"/>
          <w:sz w:val="20"/>
          <w:szCs w:val="20"/>
        </w:rPr>
        <w:t>La plupart des essais ont été de petite taille et n'ont pas montré d'amélioration significative (</w:t>
      </w:r>
      <w:proofErr w:type="spellStart"/>
      <w:r w:rsidRPr="002E046B">
        <w:rPr>
          <w:rFonts w:asciiTheme="minorHAnsi" w:hAnsiTheme="minorHAnsi"/>
          <w:sz w:val="20"/>
          <w:szCs w:val="20"/>
        </w:rPr>
        <w:t>Halmi</w:t>
      </w:r>
      <w:proofErr w:type="spellEnd"/>
      <w:r w:rsidRPr="002E046B">
        <w:rPr>
          <w:rFonts w:asciiTheme="minorHAnsi" w:hAnsiTheme="minorHAnsi"/>
          <w:sz w:val="20"/>
          <w:szCs w:val="20"/>
        </w:rPr>
        <w:t xml:space="preserve"> et al. 1986). Une exception est un ECR sur l'olanzapine, qui a entraîné une prise de poids significative, mais sans impact notable sur la psychopathologie (Attia et al. 2019).</w:t>
      </w:r>
    </w:p>
    <w:p w14:paraId="17B57DA3" w14:textId="3D4A509E" w:rsidR="0070090B" w:rsidRPr="0070090B" w:rsidRDefault="0070090B" w:rsidP="0070090B">
      <w:pPr>
        <w:rPr>
          <w:rFonts w:asciiTheme="majorBidi" w:hAnsiTheme="majorBidi" w:cstheme="majorBidi"/>
          <w:color w:val="CC0000"/>
          <w:sz w:val="32"/>
          <w:szCs w:val="32"/>
        </w:rPr>
      </w:pPr>
      <w:r w:rsidRPr="0070090B">
        <w:rPr>
          <w:rFonts w:asciiTheme="majorBidi" w:eastAsia="Arial" w:hAnsiTheme="majorBidi" w:cstheme="majorBidi"/>
          <w:b/>
          <w:bCs/>
          <w:color w:val="CC0000"/>
          <w:sz w:val="24"/>
          <w:szCs w:val="24"/>
        </w:rPr>
        <w:t>TRAITEMENTS POUR LA BOULIMIE NERVEUSE</w:t>
      </w:r>
      <w:r>
        <w:rPr>
          <w:rFonts w:asciiTheme="majorBidi" w:eastAsia="Arial" w:hAnsiTheme="majorBidi" w:cstheme="majorBidi"/>
          <w:b/>
          <w:bCs/>
          <w:color w:val="CC0000"/>
          <w:sz w:val="24"/>
          <w:szCs w:val="24"/>
        </w:rPr>
        <w:t> :</w:t>
      </w:r>
    </w:p>
    <w:p w14:paraId="63A59AA3" w14:textId="01BD242B" w:rsidR="00B02402" w:rsidRPr="0070090B" w:rsidRDefault="00B02402" w:rsidP="00B02402">
      <w:pPr>
        <w:pStyle w:val="NormalWeb"/>
        <w:rPr>
          <w:rFonts w:asciiTheme="majorBidi" w:hAnsiTheme="majorBidi" w:cstheme="majorBidi"/>
          <w:color w:val="CC0000"/>
        </w:rPr>
      </w:pPr>
      <w:r w:rsidRPr="0070090B">
        <w:rPr>
          <w:rFonts w:asciiTheme="majorBidi" w:hAnsiTheme="majorBidi" w:cstheme="majorBidi"/>
          <w:color w:val="CC0000"/>
        </w:rPr>
        <w:t>Traitements psychologiques</w:t>
      </w:r>
    </w:p>
    <w:p w14:paraId="632A4DE2" w14:textId="77777777" w:rsidR="00B02402" w:rsidRDefault="00B02402" w:rsidP="00B02402">
      <w:pPr>
        <w:pStyle w:val="NormalWeb"/>
        <w:rPr>
          <w:rFonts w:asciiTheme="minorHAnsi" w:hAnsiTheme="minorHAnsi"/>
          <w:sz w:val="20"/>
          <w:szCs w:val="20"/>
        </w:rPr>
      </w:pPr>
      <w:r w:rsidRPr="00B02402">
        <w:rPr>
          <w:rFonts w:asciiTheme="minorHAnsi" w:hAnsiTheme="minorHAnsi"/>
          <w:sz w:val="20"/>
          <w:szCs w:val="20"/>
        </w:rPr>
        <w:t xml:space="preserve">La thérapie </w:t>
      </w:r>
      <w:proofErr w:type="spellStart"/>
      <w:r w:rsidRPr="00B02402">
        <w:rPr>
          <w:rFonts w:asciiTheme="minorHAnsi" w:hAnsiTheme="minorHAnsi"/>
          <w:sz w:val="20"/>
          <w:szCs w:val="20"/>
        </w:rPr>
        <w:t>cognitivo</w:t>
      </w:r>
      <w:proofErr w:type="spellEnd"/>
      <w:r w:rsidRPr="00B02402">
        <w:rPr>
          <w:rFonts w:asciiTheme="minorHAnsi" w:hAnsiTheme="minorHAnsi"/>
          <w:sz w:val="20"/>
          <w:szCs w:val="20"/>
        </w:rPr>
        <w:t>-comportementale (TCC) est largement reconnue comme le traitement principal pour la boulimie nerveuse (BN), soutenue par des directives comme celles de NICE (2017). Des études ont démontré son efficacité supérieure par rapport à la thérapie interpersonnelle (TPI) et d'autres approches (</w:t>
      </w:r>
      <w:proofErr w:type="spellStart"/>
      <w:r w:rsidRPr="00B02402">
        <w:rPr>
          <w:rFonts w:asciiTheme="minorHAnsi" w:hAnsiTheme="minorHAnsi"/>
          <w:sz w:val="20"/>
          <w:szCs w:val="20"/>
        </w:rPr>
        <w:t>Agras</w:t>
      </w:r>
      <w:proofErr w:type="spellEnd"/>
      <w:r w:rsidRPr="00B02402">
        <w:rPr>
          <w:rFonts w:asciiTheme="minorHAnsi" w:hAnsiTheme="minorHAnsi"/>
          <w:sz w:val="20"/>
          <w:szCs w:val="20"/>
        </w:rPr>
        <w:t xml:space="preserve"> et al. 2000, </w:t>
      </w:r>
      <w:proofErr w:type="spellStart"/>
      <w:r w:rsidRPr="00B02402">
        <w:rPr>
          <w:rFonts w:asciiTheme="minorHAnsi" w:hAnsiTheme="minorHAnsi"/>
          <w:sz w:val="20"/>
          <w:szCs w:val="20"/>
        </w:rPr>
        <w:t>Fairburn</w:t>
      </w:r>
      <w:proofErr w:type="spellEnd"/>
      <w:r w:rsidRPr="00B02402">
        <w:rPr>
          <w:rFonts w:asciiTheme="minorHAnsi" w:hAnsiTheme="minorHAnsi"/>
          <w:sz w:val="20"/>
          <w:szCs w:val="20"/>
        </w:rPr>
        <w:t xml:space="preserve"> et al. 1991).</w:t>
      </w:r>
    </w:p>
    <w:p w14:paraId="1076110F" w14:textId="72800AA4" w:rsidR="009F07A6" w:rsidRPr="00B02402" w:rsidRDefault="009F07A6" w:rsidP="009F07A6">
      <w:pPr>
        <w:pStyle w:val="NormalWeb"/>
        <w:rPr>
          <w:rFonts w:asciiTheme="majorBidi" w:hAnsiTheme="majorBidi" w:cstheme="majorBidi"/>
          <w:color w:val="CC0000"/>
          <w:sz w:val="22"/>
          <w:szCs w:val="22"/>
        </w:rPr>
      </w:pPr>
      <w:r w:rsidRPr="009F07A6">
        <w:rPr>
          <w:rFonts w:asciiTheme="majorBidi" w:hAnsiTheme="majorBidi" w:cstheme="majorBidi"/>
          <w:color w:val="CC0000"/>
          <w:sz w:val="22"/>
          <w:szCs w:val="22"/>
        </w:rPr>
        <w:t>Traitements Pharmacologiques</w:t>
      </w:r>
      <w:r>
        <w:rPr>
          <w:rFonts w:asciiTheme="majorBidi" w:hAnsiTheme="majorBidi" w:cstheme="majorBidi"/>
          <w:color w:val="CC0000"/>
          <w:sz w:val="22"/>
          <w:szCs w:val="22"/>
        </w:rPr>
        <w:t> :</w:t>
      </w:r>
    </w:p>
    <w:p w14:paraId="507924D3" w14:textId="528690B0" w:rsidR="009F07A6" w:rsidRPr="009F07A6" w:rsidRDefault="009F07A6" w:rsidP="009F07A6">
      <w:pPr>
        <w:pStyle w:val="NormalWeb"/>
        <w:rPr>
          <w:rFonts w:eastAsiaTheme="minorEastAsia"/>
          <w:sz w:val="22"/>
          <w:szCs w:val="22"/>
        </w:rPr>
      </w:pPr>
      <w:r w:rsidRPr="009F07A6">
        <w:rPr>
          <w:rFonts w:asciiTheme="minorHAnsi" w:hAnsiTheme="minorHAnsi"/>
          <w:sz w:val="20"/>
          <w:szCs w:val="20"/>
        </w:rPr>
        <w:t>Le développement de traitements pharmacologiques pour la boulimie nerveuse (BN) a stagné, avec seulement la fluoxétine approuvée par la FDA il y a 20 ans. La plupart des recherches ont porté sur des médicaments "réutilisés", et les études récentes restent de petite taille et n'apportent pas de nouvelles données significatives (</w:t>
      </w:r>
      <w:proofErr w:type="spellStart"/>
      <w:r w:rsidRPr="009F07A6">
        <w:rPr>
          <w:rFonts w:asciiTheme="minorHAnsi" w:hAnsiTheme="minorHAnsi"/>
          <w:sz w:val="20"/>
          <w:szCs w:val="20"/>
        </w:rPr>
        <w:t>Himmerich</w:t>
      </w:r>
      <w:proofErr w:type="spellEnd"/>
      <w:r w:rsidRPr="009F07A6">
        <w:rPr>
          <w:rFonts w:asciiTheme="minorHAnsi" w:hAnsiTheme="minorHAnsi"/>
          <w:sz w:val="20"/>
          <w:szCs w:val="20"/>
        </w:rPr>
        <w:t xml:space="preserve"> et al. 2023).</w:t>
      </w:r>
      <w:r w:rsidRPr="009F07A6">
        <w:rPr>
          <w:rFonts w:eastAsiaTheme="minorEastAsia"/>
          <w:sz w:val="22"/>
          <w:szCs w:val="22"/>
        </w:rPr>
        <w:t xml:space="preserve"> </w:t>
      </w:r>
      <w:r w:rsidRPr="009F07A6">
        <w:rPr>
          <w:rFonts w:asciiTheme="minorHAnsi" w:hAnsiTheme="minorHAnsi"/>
          <w:sz w:val="20"/>
          <w:szCs w:val="20"/>
        </w:rPr>
        <w:t>Dans un essai de 387 femmes, la fluoxétine (60 mg) a réduit les crises de boulimie de 67 % en moyenne, contre 33 % pour le placebo (FBNCSG 1992). D'autres études ont montré que les patients qui ne répondent pas rapidement à la fluoxétine sont moins susceptibles de bénéficier d'un traitement prolongé (</w:t>
      </w:r>
      <w:proofErr w:type="spellStart"/>
      <w:r w:rsidRPr="009F07A6">
        <w:rPr>
          <w:rFonts w:asciiTheme="minorHAnsi" w:hAnsiTheme="minorHAnsi"/>
          <w:sz w:val="20"/>
          <w:szCs w:val="20"/>
        </w:rPr>
        <w:t>Sysko</w:t>
      </w:r>
      <w:proofErr w:type="spellEnd"/>
      <w:r w:rsidRPr="009F07A6">
        <w:rPr>
          <w:rFonts w:asciiTheme="minorHAnsi" w:hAnsiTheme="minorHAnsi"/>
          <w:sz w:val="20"/>
          <w:szCs w:val="20"/>
        </w:rPr>
        <w:t xml:space="preserve"> et al. 2010).</w:t>
      </w:r>
      <w:r w:rsidRPr="009F07A6">
        <w:rPr>
          <w:rFonts w:eastAsiaTheme="minorEastAsia"/>
          <w:b/>
          <w:bCs/>
          <w:sz w:val="22"/>
          <w:szCs w:val="22"/>
        </w:rPr>
        <w:t xml:space="preserve"> </w:t>
      </w:r>
      <w:r>
        <w:rPr>
          <w:rFonts w:eastAsiaTheme="minorEastAsia"/>
          <w:b/>
          <w:bCs/>
          <w:sz w:val="22"/>
          <w:szCs w:val="22"/>
        </w:rPr>
        <w:t xml:space="preserve"> </w:t>
      </w:r>
    </w:p>
    <w:p w14:paraId="75927839" w14:textId="0F1B0A90" w:rsidR="00456CA0" w:rsidRDefault="009F07A6" w:rsidP="00456CA0">
      <w:pPr>
        <w:pStyle w:val="NormalWeb"/>
        <w:rPr>
          <w:rFonts w:asciiTheme="minorHAnsi" w:hAnsiTheme="minorHAnsi"/>
          <w:sz w:val="20"/>
          <w:szCs w:val="20"/>
        </w:rPr>
      </w:pPr>
      <w:r>
        <w:rPr>
          <w:rFonts w:asciiTheme="minorHAnsi" w:hAnsiTheme="minorHAnsi"/>
          <w:sz w:val="20"/>
          <w:szCs w:val="20"/>
        </w:rPr>
        <w:t>B</w:t>
      </w:r>
      <w:r w:rsidRPr="009F07A6">
        <w:rPr>
          <w:rFonts w:asciiTheme="minorHAnsi" w:hAnsiTheme="minorHAnsi"/>
          <w:sz w:val="20"/>
          <w:szCs w:val="20"/>
        </w:rPr>
        <w:t>ien que la fluoxétine soit le traitement pharmacologique principal pour la BN, les options restent limitées, et l’efficacité varie. Des études plus longues et mieux conçues sont nécessaires pour améliorer les résultats cliniques.</w:t>
      </w:r>
    </w:p>
    <w:p w14:paraId="33B0F409" w14:textId="5D94E35F" w:rsidR="00456CA0" w:rsidRDefault="00456CA0" w:rsidP="00456CA0">
      <w:pPr>
        <w:rPr>
          <w:rFonts w:asciiTheme="majorBidi" w:hAnsiTheme="majorBidi" w:cstheme="majorBidi"/>
          <w:b/>
          <w:bCs/>
          <w:color w:val="CC0000"/>
          <w:sz w:val="24"/>
          <w:szCs w:val="24"/>
        </w:rPr>
      </w:pPr>
      <w:r w:rsidRPr="00456CA0">
        <w:rPr>
          <w:rFonts w:asciiTheme="majorBidi" w:eastAsia="Arial" w:hAnsiTheme="majorBidi" w:cstheme="majorBidi"/>
          <w:b/>
          <w:bCs/>
          <w:color w:val="CC0000"/>
          <w:sz w:val="24"/>
          <w:szCs w:val="24"/>
        </w:rPr>
        <w:t xml:space="preserve">TRAITEMENTS POUR </w:t>
      </w:r>
      <w:r>
        <w:rPr>
          <w:rFonts w:asciiTheme="majorBidi" w:hAnsiTheme="majorBidi" w:cstheme="majorBidi"/>
          <w:b/>
          <w:bCs/>
          <w:color w:val="CC0000"/>
          <w:sz w:val="24"/>
          <w:szCs w:val="24"/>
        </w:rPr>
        <w:t>L’HYPERPHAGIE BOULIMIQUE :</w:t>
      </w:r>
    </w:p>
    <w:p w14:paraId="3F0840F5" w14:textId="77777777" w:rsidR="00456CA0" w:rsidRPr="00456CA0" w:rsidRDefault="00456CA0" w:rsidP="00456CA0">
      <w:pPr>
        <w:rPr>
          <w:rFonts w:asciiTheme="majorBidi" w:hAnsiTheme="majorBidi" w:cstheme="majorBidi"/>
          <w:b/>
          <w:bCs/>
          <w:color w:val="CC0000"/>
          <w:sz w:val="24"/>
          <w:szCs w:val="24"/>
        </w:rPr>
      </w:pPr>
    </w:p>
    <w:p w14:paraId="1B117C7F" w14:textId="471BDB28" w:rsidR="00456CA0" w:rsidRPr="00C7274E" w:rsidRDefault="00456CA0" w:rsidP="00456CA0">
      <w:pPr>
        <w:rPr>
          <w:rFonts w:asciiTheme="majorBidi" w:hAnsiTheme="majorBidi" w:cstheme="majorBidi"/>
          <w:color w:val="CC0000"/>
          <w:sz w:val="36"/>
          <w:szCs w:val="36"/>
        </w:rPr>
      </w:pPr>
      <w:r w:rsidRPr="00C7274E">
        <w:rPr>
          <w:rFonts w:asciiTheme="majorBidi" w:eastAsia="Arial" w:hAnsiTheme="majorBidi" w:cstheme="majorBidi"/>
          <w:color w:val="CC0000"/>
          <w:sz w:val="24"/>
          <w:szCs w:val="24"/>
        </w:rPr>
        <w:lastRenderedPageBreak/>
        <w:t>Traitements psychologiques :</w:t>
      </w:r>
    </w:p>
    <w:p w14:paraId="60959020" w14:textId="77777777" w:rsidR="00D66ADE" w:rsidRDefault="00D66ADE" w:rsidP="00D66ADE">
      <w:pPr>
        <w:rPr>
          <w:rFonts w:asciiTheme="minorHAnsi" w:hAnsiTheme="minorHAnsi" w:cstheme="majorBidi"/>
          <w:sz w:val="20"/>
          <w:szCs w:val="20"/>
        </w:rPr>
      </w:pPr>
    </w:p>
    <w:p w14:paraId="79814D28" w14:textId="246F657F" w:rsidR="00D66ADE" w:rsidRPr="00D66ADE" w:rsidRDefault="00D66ADE" w:rsidP="00D66ADE">
      <w:pPr>
        <w:rPr>
          <w:rFonts w:asciiTheme="minorHAnsi" w:hAnsiTheme="minorHAnsi" w:cstheme="majorBidi"/>
          <w:sz w:val="20"/>
          <w:szCs w:val="20"/>
        </w:rPr>
      </w:pPr>
      <w:r w:rsidRPr="00D66ADE">
        <w:rPr>
          <w:rFonts w:asciiTheme="minorHAnsi" w:hAnsiTheme="minorHAnsi" w:cstheme="majorBidi"/>
          <w:sz w:val="20"/>
          <w:szCs w:val="20"/>
        </w:rPr>
        <w:t xml:space="preserve">La recherche sur les traitements psychologiques pour l'hyperphagie boulimique a progressé ces 30 dernières années, mais les conclusions restent relativement constantes. Les approches les plus soutenues sont la thérapie </w:t>
      </w:r>
      <w:proofErr w:type="spellStart"/>
      <w:r w:rsidRPr="00D66ADE">
        <w:rPr>
          <w:rFonts w:asciiTheme="minorHAnsi" w:hAnsiTheme="minorHAnsi" w:cstheme="majorBidi"/>
          <w:sz w:val="20"/>
          <w:szCs w:val="20"/>
        </w:rPr>
        <w:t>cognitivo</w:t>
      </w:r>
      <w:proofErr w:type="spellEnd"/>
      <w:r w:rsidRPr="00D66ADE">
        <w:rPr>
          <w:rFonts w:asciiTheme="minorHAnsi" w:hAnsiTheme="minorHAnsi" w:cstheme="majorBidi"/>
          <w:sz w:val="20"/>
          <w:szCs w:val="20"/>
        </w:rPr>
        <w:t>-comportementale (TCC) et la thérapie interpersonnelle (TPI), qui ont toutes deux montré une efficacité notable.</w:t>
      </w:r>
    </w:p>
    <w:p w14:paraId="7079E5AC" w14:textId="77777777" w:rsidR="00D66ADE" w:rsidRPr="00D66ADE" w:rsidRDefault="00D66ADE" w:rsidP="00D66ADE">
      <w:pPr>
        <w:rPr>
          <w:rFonts w:asciiTheme="minorHAnsi" w:hAnsiTheme="minorHAnsi" w:cstheme="majorBidi"/>
          <w:sz w:val="20"/>
          <w:szCs w:val="20"/>
        </w:rPr>
      </w:pPr>
    </w:p>
    <w:p w14:paraId="0F6CF84A" w14:textId="44D9CD51" w:rsidR="00D66ADE" w:rsidRPr="00D66ADE" w:rsidRDefault="00D66ADE" w:rsidP="00D66ADE">
      <w:pPr>
        <w:rPr>
          <w:rFonts w:asciiTheme="minorHAnsi" w:hAnsiTheme="minorHAnsi" w:cstheme="majorBidi"/>
          <w:sz w:val="20"/>
          <w:szCs w:val="20"/>
        </w:rPr>
      </w:pPr>
      <w:r w:rsidRPr="00D66ADE">
        <w:rPr>
          <w:rFonts w:asciiTheme="minorHAnsi" w:hAnsiTheme="minorHAnsi" w:cstheme="majorBidi"/>
          <w:sz w:val="20"/>
          <w:szCs w:val="20"/>
        </w:rPr>
        <w:t>Efficacité de la TCC et de la TPI</w:t>
      </w:r>
      <w:r>
        <w:rPr>
          <w:rFonts w:asciiTheme="minorHAnsi" w:hAnsiTheme="minorHAnsi" w:cstheme="majorBidi"/>
          <w:sz w:val="20"/>
          <w:szCs w:val="20"/>
        </w:rPr>
        <w:t> :</w:t>
      </w:r>
    </w:p>
    <w:p w14:paraId="627DEBA6" w14:textId="77777777" w:rsidR="00D66ADE" w:rsidRPr="00D66ADE" w:rsidRDefault="00D66ADE" w:rsidP="00D66ADE">
      <w:pPr>
        <w:rPr>
          <w:rFonts w:asciiTheme="minorHAnsi" w:hAnsiTheme="minorHAnsi" w:cstheme="majorBidi"/>
          <w:sz w:val="20"/>
          <w:szCs w:val="20"/>
        </w:rPr>
      </w:pPr>
      <w:r w:rsidRPr="00D66ADE">
        <w:rPr>
          <w:rFonts w:asciiTheme="minorHAnsi" w:hAnsiTheme="minorHAnsi" w:cstheme="majorBidi"/>
          <w:sz w:val="20"/>
          <w:szCs w:val="20"/>
        </w:rPr>
        <w:t>TCC : Des essais contrôlés randomisés (ECR) montrent que la TCC permet à environ 50 % des patients d'atteindre une rémission, avec des améliorations durables de la psychopathologie et du fonctionnement psychologique (</w:t>
      </w:r>
      <w:proofErr w:type="spellStart"/>
      <w:r w:rsidRPr="00D66ADE">
        <w:rPr>
          <w:rFonts w:asciiTheme="minorHAnsi" w:hAnsiTheme="minorHAnsi" w:cstheme="majorBidi"/>
          <w:sz w:val="20"/>
          <w:szCs w:val="20"/>
        </w:rPr>
        <w:t>Grilo</w:t>
      </w:r>
      <w:proofErr w:type="spellEnd"/>
      <w:r w:rsidRPr="00D66ADE">
        <w:rPr>
          <w:rFonts w:asciiTheme="minorHAnsi" w:hAnsiTheme="minorHAnsi" w:cstheme="majorBidi"/>
          <w:sz w:val="20"/>
          <w:szCs w:val="20"/>
        </w:rPr>
        <w:t xml:space="preserve"> et al. 2011, </w:t>
      </w:r>
      <w:proofErr w:type="spellStart"/>
      <w:r w:rsidRPr="00D66ADE">
        <w:rPr>
          <w:rFonts w:asciiTheme="minorHAnsi" w:hAnsiTheme="minorHAnsi" w:cstheme="majorBidi"/>
          <w:sz w:val="20"/>
          <w:szCs w:val="20"/>
        </w:rPr>
        <w:t>Wilfley</w:t>
      </w:r>
      <w:proofErr w:type="spellEnd"/>
      <w:r w:rsidRPr="00D66ADE">
        <w:rPr>
          <w:rFonts w:asciiTheme="minorHAnsi" w:hAnsiTheme="minorHAnsi" w:cstheme="majorBidi"/>
          <w:sz w:val="20"/>
          <w:szCs w:val="20"/>
        </w:rPr>
        <w:t xml:space="preserve"> et al. 2002). Les résultats peuvent être maintenus jusqu'à 48 mois après le traitement.</w:t>
      </w:r>
    </w:p>
    <w:p w14:paraId="6456838D" w14:textId="13C6250F" w:rsidR="002024B9" w:rsidRDefault="00D66ADE" w:rsidP="00D66ADE">
      <w:pPr>
        <w:rPr>
          <w:rFonts w:asciiTheme="majorBidi" w:hAnsiTheme="majorBidi" w:cstheme="majorBidi"/>
          <w:sz w:val="28"/>
          <w:szCs w:val="28"/>
        </w:rPr>
      </w:pPr>
      <w:r w:rsidRPr="00D66ADE">
        <w:rPr>
          <w:rFonts w:asciiTheme="minorHAnsi" w:hAnsiTheme="minorHAnsi" w:cstheme="majorBidi"/>
          <w:sz w:val="20"/>
          <w:szCs w:val="20"/>
        </w:rPr>
        <w:t>TPI : Bien qu'efficace, la TPI a un soutien légèrement moins fort que la TCC</w:t>
      </w:r>
      <w:r w:rsidRPr="00D66ADE">
        <w:rPr>
          <w:rFonts w:asciiTheme="majorBidi" w:hAnsiTheme="majorBidi" w:cstheme="majorBidi"/>
          <w:sz w:val="28"/>
          <w:szCs w:val="28"/>
        </w:rPr>
        <w:t>.</w:t>
      </w:r>
    </w:p>
    <w:p w14:paraId="56ADA34C" w14:textId="77777777" w:rsidR="00D66ADE" w:rsidRDefault="00D66ADE" w:rsidP="00D66ADE">
      <w:pPr>
        <w:rPr>
          <w:rFonts w:asciiTheme="minorHAnsi" w:hAnsiTheme="minorHAnsi" w:cstheme="majorBidi"/>
          <w:sz w:val="20"/>
          <w:szCs w:val="20"/>
        </w:rPr>
      </w:pPr>
    </w:p>
    <w:p w14:paraId="78F3EAC6" w14:textId="12B6FAA7" w:rsidR="00D66ADE" w:rsidRDefault="00D66ADE" w:rsidP="00D66ADE">
      <w:pPr>
        <w:rPr>
          <w:rFonts w:asciiTheme="minorHAnsi" w:hAnsiTheme="minorHAnsi" w:cstheme="majorBidi"/>
          <w:sz w:val="20"/>
          <w:szCs w:val="20"/>
        </w:rPr>
      </w:pPr>
      <w:r w:rsidRPr="00D66ADE">
        <w:rPr>
          <w:rFonts w:asciiTheme="minorHAnsi" w:hAnsiTheme="minorHAnsi" w:cstheme="majorBidi"/>
          <w:sz w:val="20"/>
          <w:szCs w:val="20"/>
        </w:rPr>
        <w:t xml:space="preserve">Cependant </w:t>
      </w:r>
      <w:r>
        <w:rPr>
          <w:rFonts w:asciiTheme="minorHAnsi" w:hAnsiTheme="minorHAnsi" w:cstheme="majorBidi"/>
          <w:sz w:val="20"/>
          <w:szCs w:val="20"/>
        </w:rPr>
        <w:t xml:space="preserve">l’accessibilité au traitement reste limitée vue la rareté des cliniciens </w:t>
      </w:r>
      <w:r w:rsidRPr="00D66ADE">
        <w:rPr>
          <w:rFonts w:asciiTheme="minorHAnsi" w:hAnsiTheme="minorHAnsi" w:cstheme="majorBidi"/>
          <w:sz w:val="20"/>
          <w:szCs w:val="20"/>
        </w:rPr>
        <w:t>spécialisés, tandis que les approches d'auto-assistance et les programmes de perte de poids comportementale (BWL) offrent des alternatives efficaces et plus accessibles.</w:t>
      </w:r>
    </w:p>
    <w:p w14:paraId="2829BEE6" w14:textId="77777777" w:rsidR="00C7274E" w:rsidRDefault="00C7274E" w:rsidP="00D66ADE">
      <w:pPr>
        <w:rPr>
          <w:rFonts w:asciiTheme="minorHAnsi" w:hAnsiTheme="minorHAnsi" w:cstheme="majorBidi"/>
          <w:sz w:val="20"/>
          <w:szCs w:val="20"/>
        </w:rPr>
      </w:pPr>
    </w:p>
    <w:p w14:paraId="4B539A25" w14:textId="0C92234C" w:rsidR="00C7274E" w:rsidRDefault="00C7274E" w:rsidP="00C7274E">
      <w:pPr>
        <w:rPr>
          <w:rFonts w:asciiTheme="majorBidi" w:hAnsiTheme="majorBidi" w:cstheme="majorBidi"/>
          <w:color w:val="CC0000"/>
          <w:sz w:val="24"/>
          <w:szCs w:val="24"/>
        </w:rPr>
      </w:pPr>
      <w:r w:rsidRPr="00C7274E">
        <w:rPr>
          <w:rFonts w:asciiTheme="majorBidi" w:hAnsiTheme="majorBidi" w:cstheme="majorBidi"/>
          <w:color w:val="CC0000"/>
          <w:sz w:val="24"/>
          <w:szCs w:val="24"/>
        </w:rPr>
        <w:t>Traitements pharmacologiques</w:t>
      </w:r>
      <w:r>
        <w:rPr>
          <w:rFonts w:asciiTheme="majorBidi" w:hAnsiTheme="majorBidi" w:cstheme="majorBidi"/>
          <w:color w:val="CC0000"/>
          <w:sz w:val="24"/>
          <w:szCs w:val="24"/>
        </w:rPr>
        <w:t> :</w:t>
      </w:r>
    </w:p>
    <w:p w14:paraId="50F026E4" w14:textId="77777777" w:rsidR="00C7274E" w:rsidRPr="00C7274E" w:rsidRDefault="00C7274E" w:rsidP="00C7274E">
      <w:pPr>
        <w:rPr>
          <w:rFonts w:asciiTheme="majorBidi" w:hAnsiTheme="majorBidi" w:cstheme="majorBidi"/>
          <w:color w:val="CC0000"/>
          <w:sz w:val="24"/>
          <w:szCs w:val="24"/>
        </w:rPr>
      </w:pPr>
    </w:p>
    <w:p w14:paraId="614D4D9D" w14:textId="5D60DF64" w:rsidR="00C7274E" w:rsidRDefault="00C7274E" w:rsidP="00C7274E">
      <w:pPr>
        <w:rPr>
          <w:rFonts w:asciiTheme="minorHAnsi" w:hAnsiTheme="minorHAnsi" w:cstheme="majorBidi"/>
          <w:sz w:val="20"/>
          <w:szCs w:val="20"/>
        </w:rPr>
      </w:pPr>
      <w:r w:rsidRPr="00C7274E">
        <w:rPr>
          <w:rFonts w:asciiTheme="minorHAnsi" w:hAnsiTheme="minorHAnsi" w:cstheme="majorBidi"/>
          <w:sz w:val="20"/>
          <w:szCs w:val="20"/>
        </w:rPr>
        <w:t xml:space="preserve">La recherche sur les traitements pharmacologiques pour l'hyperphagie boulimique a été limitée, se concentrant principalement sur des médicaments déjà existants, avec le </w:t>
      </w:r>
      <w:proofErr w:type="spellStart"/>
      <w:r w:rsidRPr="00C7274E">
        <w:rPr>
          <w:rFonts w:asciiTheme="minorHAnsi" w:hAnsiTheme="minorHAnsi" w:cstheme="majorBidi"/>
          <w:sz w:val="20"/>
          <w:szCs w:val="20"/>
        </w:rPr>
        <w:t>dimésylate</w:t>
      </w:r>
      <w:proofErr w:type="spellEnd"/>
      <w:r w:rsidRPr="00C7274E">
        <w:rPr>
          <w:rFonts w:asciiTheme="minorHAnsi" w:hAnsiTheme="minorHAnsi" w:cstheme="majorBidi"/>
          <w:sz w:val="20"/>
          <w:szCs w:val="20"/>
        </w:rPr>
        <w:t xml:space="preserve"> de </w:t>
      </w:r>
      <w:proofErr w:type="spellStart"/>
      <w:r w:rsidRPr="00C7274E">
        <w:rPr>
          <w:rFonts w:asciiTheme="minorHAnsi" w:hAnsiTheme="minorHAnsi" w:cstheme="majorBidi"/>
          <w:sz w:val="20"/>
          <w:szCs w:val="20"/>
        </w:rPr>
        <w:t>lisdexamfétamine</w:t>
      </w:r>
      <w:proofErr w:type="spellEnd"/>
      <w:r w:rsidRPr="00C7274E">
        <w:rPr>
          <w:rFonts w:asciiTheme="minorHAnsi" w:hAnsiTheme="minorHAnsi" w:cstheme="majorBidi"/>
          <w:sz w:val="20"/>
          <w:szCs w:val="20"/>
        </w:rPr>
        <w:t xml:space="preserve"> (LDX) comme le seul médicament spécifiquement approuvé, montrant une efficacité supérieure au placebo dans plusieurs essais. Bien que le LDX soit généralement bien toléré et associé à des taux de rémission significativement plus élevés, son utilisation est restreinte par des préoccupations concernant le potentiel d'abus. D'autres traitements, comme le topiramate, montrent des effets prometteurs mais sont souvent associés à des effets secondaires importants et à des taux d'abandon élevés. Les antidépresseurs ISRS, tels que la fluoxétine, ont des résultats mitigés et sont souvent moins efficaces que la thérapie </w:t>
      </w:r>
      <w:proofErr w:type="spellStart"/>
      <w:r w:rsidRPr="00C7274E">
        <w:rPr>
          <w:rFonts w:asciiTheme="minorHAnsi" w:hAnsiTheme="minorHAnsi" w:cstheme="majorBidi"/>
          <w:sz w:val="20"/>
          <w:szCs w:val="20"/>
        </w:rPr>
        <w:t>cognitivo</w:t>
      </w:r>
      <w:proofErr w:type="spellEnd"/>
      <w:r w:rsidRPr="00C7274E">
        <w:rPr>
          <w:rFonts w:asciiTheme="minorHAnsi" w:hAnsiTheme="minorHAnsi" w:cstheme="majorBidi"/>
          <w:sz w:val="20"/>
          <w:szCs w:val="20"/>
        </w:rPr>
        <w:t>-comportementale (TCC).</w:t>
      </w:r>
    </w:p>
    <w:p w14:paraId="2891EF9E" w14:textId="77777777" w:rsidR="00AF66AE" w:rsidRPr="00C7274E" w:rsidRDefault="00AF66AE" w:rsidP="00C7274E">
      <w:pPr>
        <w:rPr>
          <w:rFonts w:asciiTheme="minorHAnsi" w:hAnsiTheme="minorHAnsi" w:cstheme="majorBidi"/>
          <w:sz w:val="20"/>
          <w:szCs w:val="20"/>
        </w:rPr>
      </w:pPr>
    </w:p>
    <w:p w14:paraId="39812BC7" w14:textId="5C1121C3" w:rsidR="00AF66AE" w:rsidRDefault="00AF66AE" w:rsidP="00AF66AE">
      <w:pPr>
        <w:rPr>
          <w:rFonts w:asciiTheme="majorBidi" w:hAnsiTheme="majorBidi" w:cstheme="majorBidi"/>
          <w:b/>
          <w:bCs/>
          <w:color w:val="CC0000"/>
          <w:sz w:val="24"/>
          <w:szCs w:val="24"/>
        </w:rPr>
      </w:pPr>
      <w:r w:rsidRPr="00AF66AE">
        <w:rPr>
          <w:rFonts w:asciiTheme="majorBidi" w:hAnsiTheme="majorBidi" w:cstheme="majorBidi"/>
          <w:b/>
          <w:bCs/>
          <w:color w:val="CC0000"/>
          <w:sz w:val="24"/>
          <w:szCs w:val="24"/>
        </w:rPr>
        <w:t xml:space="preserve">Traitement </w:t>
      </w:r>
      <w:proofErr w:type="spellStart"/>
      <w:r w:rsidRPr="00AF66AE">
        <w:rPr>
          <w:rFonts w:asciiTheme="majorBidi" w:hAnsiTheme="majorBidi" w:cstheme="majorBidi"/>
          <w:b/>
          <w:bCs/>
          <w:color w:val="CC0000"/>
          <w:sz w:val="24"/>
          <w:szCs w:val="24"/>
        </w:rPr>
        <w:t>transdiagnostique</w:t>
      </w:r>
      <w:proofErr w:type="spellEnd"/>
      <w:r w:rsidRPr="00AF66AE">
        <w:rPr>
          <w:rFonts w:asciiTheme="majorBidi" w:hAnsiTheme="majorBidi" w:cstheme="majorBidi"/>
          <w:b/>
          <w:bCs/>
          <w:color w:val="CC0000"/>
          <w:sz w:val="24"/>
          <w:szCs w:val="24"/>
        </w:rPr>
        <w:t xml:space="preserve"> avec thérapie </w:t>
      </w:r>
      <w:proofErr w:type="spellStart"/>
      <w:r w:rsidRPr="00AF66AE">
        <w:rPr>
          <w:rFonts w:asciiTheme="majorBidi" w:hAnsiTheme="majorBidi" w:cstheme="majorBidi"/>
          <w:b/>
          <w:bCs/>
          <w:color w:val="CC0000"/>
          <w:sz w:val="24"/>
          <w:szCs w:val="24"/>
        </w:rPr>
        <w:t>cognitivo</w:t>
      </w:r>
      <w:proofErr w:type="spellEnd"/>
      <w:r w:rsidRPr="00AF66AE">
        <w:rPr>
          <w:rFonts w:asciiTheme="majorBidi" w:hAnsiTheme="majorBidi" w:cstheme="majorBidi"/>
          <w:b/>
          <w:bCs/>
          <w:color w:val="CC0000"/>
          <w:sz w:val="24"/>
          <w:szCs w:val="24"/>
        </w:rPr>
        <w:t>-comportementale améliorée</w:t>
      </w:r>
      <w:r>
        <w:rPr>
          <w:rFonts w:asciiTheme="majorBidi" w:hAnsiTheme="majorBidi" w:cstheme="majorBidi"/>
          <w:b/>
          <w:bCs/>
          <w:color w:val="CC0000"/>
          <w:sz w:val="24"/>
          <w:szCs w:val="24"/>
        </w:rPr>
        <w:t> :</w:t>
      </w:r>
    </w:p>
    <w:p w14:paraId="4A86DDB0" w14:textId="77777777" w:rsidR="00AF66AE" w:rsidRPr="00AF66AE" w:rsidRDefault="00AF66AE" w:rsidP="00AF66AE">
      <w:pPr>
        <w:rPr>
          <w:rFonts w:asciiTheme="majorBidi" w:hAnsiTheme="majorBidi" w:cstheme="majorBidi"/>
          <w:b/>
          <w:bCs/>
          <w:color w:val="CC0000"/>
          <w:sz w:val="24"/>
          <w:szCs w:val="24"/>
        </w:rPr>
      </w:pPr>
    </w:p>
    <w:p w14:paraId="2B79436A" w14:textId="77777777" w:rsidR="00AF66AE" w:rsidRPr="00AF66AE" w:rsidRDefault="00AF66AE" w:rsidP="00AF66AE">
      <w:pPr>
        <w:rPr>
          <w:rFonts w:asciiTheme="minorHAnsi" w:hAnsiTheme="minorHAnsi" w:cstheme="majorBidi"/>
          <w:sz w:val="20"/>
          <w:szCs w:val="20"/>
        </w:rPr>
      </w:pPr>
      <w:r w:rsidRPr="00AF66AE">
        <w:rPr>
          <w:rFonts w:asciiTheme="minorHAnsi" w:hAnsiTheme="minorHAnsi" w:cstheme="majorBidi"/>
          <w:sz w:val="20"/>
          <w:szCs w:val="20"/>
        </w:rPr>
        <w:t xml:space="preserve">Au cours des 20 dernières années, la thérapie </w:t>
      </w:r>
      <w:proofErr w:type="spellStart"/>
      <w:r w:rsidRPr="00AF66AE">
        <w:rPr>
          <w:rFonts w:asciiTheme="minorHAnsi" w:hAnsiTheme="minorHAnsi" w:cstheme="majorBidi"/>
          <w:sz w:val="20"/>
          <w:szCs w:val="20"/>
        </w:rPr>
        <w:t>cognitivo</w:t>
      </w:r>
      <w:proofErr w:type="spellEnd"/>
      <w:r w:rsidRPr="00AF66AE">
        <w:rPr>
          <w:rFonts w:asciiTheme="minorHAnsi" w:hAnsiTheme="minorHAnsi" w:cstheme="majorBidi"/>
          <w:sz w:val="20"/>
          <w:szCs w:val="20"/>
        </w:rPr>
        <w:t xml:space="preserve">-comportementale (TCC) a évolué vers un modèle </w:t>
      </w:r>
      <w:proofErr w:type="spellStart"/>
      <w:r w:rsidRPr="00AF66AE">
        <w:rPr>
          <w:rFonts w:asciiTheme="minorHAnsi" w:hAnsiTheme="minorHAnsi" w:cstheme="majorBidi"/>
          <w:sz w:val="20"/>
          <w:szCs w:val="20"/>
        </w:rPr>
        <w:t>transdiagnostique</w:t>
      </w:r>
      <w:proofErr w:type="spellEnd"/>
      <w:r w:rsidRPr="00AF66AE">
        <w:rPr>
          <w:rFonts w:asciiTheme="minorHAnsi" w:hAnsiTheme="minorHAnsi" w:cstheme="majorBidi"/>
          <w:sz w:val="20"/>
          <w:szCs w:val="20"/>
        </w:rPr>
        <w:t xml:space="preserve"> pour les troubles de l'alimentation, identifié par </w:t>
      </w:r>
      <w:proofErr w:type="spellStart"/>
      <w:r w:rsidRPr="00AF66AE">
        <w:rPr>
          <w:rFonts w:asciiTheme="minorHAnsi" w:hAnsiTheme="minorHAnsi" w:cstheme="majorBidi"/>
          <w:sz w:val="20"/>
          <w:szCs w:val="20"/>
        </w:rPr>
        <w:t>Fairburn</w:t>
      </w:r>
      <w:proofErr w:type="spellEnd"/>
      <w:r w:rsidRPr="00AF66AE">
        <w:rPr>
          <w:rFonts w:asciiTheme="minorHAnsi" w:hAnsiTheme="minorHAnsi" w:cstheme="majorBidi"/>
          <w:sz w:val="20"/>
          <w:szCs w:val="20"/>
        </w:rPr>
        <w:t xml:space="preserve"> et al. (2003). Ce modèle postule des mécanismes communs, tels que le perfectionnisme, la faible estime de soi, la dysrégulation émotionnelle et les difficultés interpersonnelles, qui contribuent au maintien de ces troubles. Cela a conduit à la création de la TCC améliorée (TCC-E), qui se décline en deux formes : la TCC-E focalisée, centrée sur la surévaluation du poids, et la TCC-E large, incluant des modules pour des problèmes </w:t>
      </w:r>
      <w:proofErr w:type="spellStart"/>
      <w:r w:rsidRPr="00AF66AE">
        <w:rPr>
          <w:rFonts w:asciiTheme="minorHAnsi" w:hAnsiTheme="minorHAnsi" w:cstheme="majorBidi"/>
          <w:sz w:val="20"/>
          <w:szCs w:val="20"/>
        </w:rPr>
        <w:t>coocurrents</w:t>
      </w:r>
      <w:proofErr w:type="spellEnd"/>
      <w:r w:rsidRPr="00AF66AE">
        <w:rPr>
          <w:rFonts w:asciiTheme="minorHAnsi" w:hAnsiTheme="minorHAnsi" w:cstheme="majorBidi"/>
          <w:sz w:val="20"/>
          <w:szCs w:val="20"/>
        </w:rPr>
        <w:t>.</w:t>
      </w:r>
    </w:p>
    <w:p w14:paraId="58685FE5" w14:textId="118B6133" w:rsidR="00D66ADE" w:rsidRDefault="00F73789" w:rsidP="00735F86">
      <w:pPr>
        <w:rPr>
          <w:rFonts w:asciiTheme="minorHAnsi" w:hAnsiTheme="minorHAnsi" w:cstheme="majorBidi"/>
          <w:sz w:val="20"/>
          <w:szCs w:val="20"/>
        </w:rPr>
      </w:pPr>
      <w:r w:rsidRPr="00F73789">
        <w:rPr>
          <w:rFonts w:asciiTheme="minorHAnsi" w:hAnsiTheme="minorHAnsi" w:cstheme="majorBidi"/>
          <w:sz w:val="20"/>
          <w:szCs w:val="20"/>
        </w:rPr>
        <w:t>D'autres comparaisons avec la thérapie interpersonnelle (TPI) et des psychothérapies psychanalytiques ont également soutenu l'efficacité et la spécificité de la TCC-E.</w:t>
      </w:r>
    </w:p>
    <w:p w14:paraId="04EE7D9F" w14:textId="351D53A0" w:rsidR="00735F86" w:rsidRDefault="00735F86" w:rsidP="00735F86">
      <w:pPr>
        <w:rPr>
          <w:rFonts w:asciiTheme="majorBidi" w:hAnsiTheme="majorBidi" w:cstheme="majorBidi"/>
          <w:b/>
          <w:bCs/>
          <w:color w:val="CC0000"/>
          <w:sz w:val="24"/>
          <w:szCs w:val="24"/>
        </w:rPr>
      </w:pPr>
      <w:r w:rsidRPr="00735F86">
        <w:rPr>
          <w:rFonts w:asciiTheme="majorBidi" w:hAnsiTheme="majorBidi" w:cstheme="majorBidi"/>
          <w:b/>
          <w:bCs/>
          <w:color w:val="CC0000"/>
          <w:sz w:val="24"/>
          <w:szCs w:val="24"/>
        </w:rPr>
        <w:t>Défis du traitement :</w:t>
      </w:r>
    </w:p>
    <w:p w14:paraId="32356A73" w14:textId="77777777" w:rsidR="00735F86" w:rsidRPr="00735F86" w:rsidRDefault="00735F86" w:rsidP="00735F86">
      <w:pPr>
        <w:rPr>
          <w:rFonts w:asciiTheme="majorBidi" w:hAnsiTheme="majorBidi" w:cstheme="majorBidi"/>
          <w:b/>
          <w:bCs/>
          <w:color w:val="CC0000"/>
          <w:sz w:val="24"/>
          <w:szCs w:val="24"/>
        </w:rPr>
      </w:pPr>
    </w:p>
    <w:p w14:paraId="6FD1A9C4" w14:textId="56EA4F1E" w:rsidR="00735F86" w:rsidRDefault="00735F86" w:rsidP="00735F86">
      <w:pPr>
        <w:rPr>
          <w:rFonts w:asciiTheme="majorBidi" w:hAnsiTheme="majorBidi" w:cstheme="majorBidi"/>
          <w:color w:val="CC0000"/>
          <w:sz w:val="24"/>
          <w:szCs w:val="24"/>
        </w:rPr>
      </w:pPr>
      <w:r w:rsidRPr="00735F86">
        <w:rPr>
          <w:rFonts w:asciiTheme="majorBidi" w:hAnsiTheme="majorBidi" w:cstheme="majorBidi"/>
          <w:color w:val="CC0000"/>
          <w:sz w:val="24"/>
          <w:szCs w:val="24"/>
        </w:rPr>
        <w:t>Problèmes de généralisa</w:t>
      </w:r>
      <w:r>
        <w:rPr>
          <w:rFonts w:asciiTheme="majorBidi" w:hAnsiTheme="majorBidi" w:cstheme="majorBidi"/>
          <w:color w:val="CC0000"/>
          <w:sz w:val="24"/>
          <w:szCs w:val="24"/>
        </w:rPr>
        <w:t>tion</w:t>
      </w:r>
      <w:r w:rsidRPr="00735F86">
        <w:rPr>
          <w:rFonts w:asciiTheme="majorBidi" w:hAnsiTheme="majorBidi" w:cstheme="majorBidi"/>
          <w:color w:val="CC0000"/>
          <w:sz w:val="24"/>
          <w:szCs w:val="24"/>
        </w:rPr>
        <w:t xml:space="preserve"> :</w:t>
      </w:r>
    </w:p>
    <w:p w14:paraId="32CD956C" w14:textId="77777777" w:rsidR="00735F86" w:rsidRPr="00735F86" w:rsidRDefault="00735F86" w:rsidP="00735F86">
      <w:pPr>
        <w:rPr>
          <w:rFonts w:asciiTheme="majorBidi" w:hAnsiTheme="majorBidi" w:cstheme="majorBidi"/>
          <w:color w:val="CC0000"/>
          <w:sz w:val="24"/>
          <w:szCs w:val="24"/>
        </w:rPr>
      </w:pPr>
    </w:p>
    <w:p w14:paraId="72F15EDB" w14:textId="77777777" w:rsidR="00735F86" w:rsidRDefault="00735F86" w:rsidP="00735F86">
      <w:r w:rsidRPr="00735F86">
        <w:rPr>
          <w:rFonts w:asciiTheme="minorHAnsi" w:hAnsiTheme="minorHAnsi" w:cstheme="majorBidi"/>
          <w:sz w:val="20"/>
          <w:szCs w:val="20"/>
        </w:rPr>
        <w:t>Les recherches sur les troubles de l'alimentation montrent que les traitements basés sur des données probantes sont rarement sollicités, notamment par les hommes et les personnes de couleur (</w:t>
      </w:r>
      <w:proofErr w:type="spellStart"/>
      <w:r w:rsidRPr="00735F86">
        <w:rPr>
          <w:rFonts w:asciiTheme="minorHAnsi" w:hAnsiTheme="minorHAnsi" w:cstheme="majorBidi"/>
          <w:sz w:val="20"/>
          <w:szCs w:val="20"/>
        </w:rPr>
        <w:t>Coffino</w:t>
      </w:r>
      <w:proofErr w:type="spellEnd"/>
      <w:r w:rsidRPr="00735F86">
        <w:rPr>
          <w:rFonts w:asciiTheme="minorHAnsi" w:hAnsiTheme="minorHAnsi" w:cstheme="majorBidi"/>
          <w:sz w:val="20"/>
          <w:szCs w:val="20"/>
        </w:rPr>
        <w:t xml:space="preserve"> et al. 2019, Marques et al. 2011). Les échantillons des études sur la psychothérapie et les essais pharmacologiques sont majoritairement composés de femmes blanches, rendant les résultats difficiles à généraliser à d'autres groupes (</w:t>
      </w:r>
      <w:proofErr w:type="spellStart"/>
      <w:r w:rsidRPr="00735F86">
        <w:rPr>
          <w:rFonts w:asciiTheme="minorHAnsi" w:hAnsiTheme="minorHAnsi" w:cstheme="majorBidi"/>
          <w:sz w:val="20"/>
          <w:szCs w:val="20"/>
        </w:rPr>
        <w:t>Burnette</w:t>
      </w:r>
      <w:proofErr w:type="spellEnd"/>
      <w:r w:rsidRPr="00735F86">
        <w:rPr>
          <w:rFonts w:asciiTheme="minorHAnsi" w:hAnsiTheme="minorHAnsi" w:cstheme="majorBidi"/>
          <w:sz w:val="20"/>
          <w:szCs w:val="20"/>
        </w:rPr>
        <w:t xml:space="preserve"> et al. 2022). Par exemple, un essai a inclus un seul participant masculin dans toutes les études de traitement combiné pour la boulimie (</w:t>
      </w:r>
      <w:proofErr w:type="spellStart"/>
      <w:r w:rsidRPr="00735F86">
        <w:rPr>
          <w:rFonts w:asciiTheme="minorHAnsi" w:hAnsiTheme="minorHAnsi" w:cstheme="majorBidi"/>
          <w:sz w:val="20"/>
          <w:szCs w:val="20"/>
        </w:rPr>
        <w:t>Reas</w:t>
      </w:r>
      <w:proofErr w:type="spellEnd"/>
      <w:r w:rsidRPr="00735F86">
        <w:rPr>
          <w:rFonts w:asciiTheme="minorHAnsi" w:hAnsiTheme="minorHAnsi" w:cstheme="majorBidi"/>
          <w:sz w:val="20"/>
          <w:szCs w:val="20"/>
        </w:rPr>
        <w:t xml:space="preserve"> &amp; </w:t>
      </w:r>
      <w:proofErr w:type="spellStart"/>
      <w:r w:rsidRPr="00735F86">
        <w:rPr>
          <w:rFonts w:asciiTheme="minorHAnsi" w:hAnsiTheme="minorHAnsi" w:cstheme="majorBidi"/>
          <w:sz w:val="20"/>
          <w:szCs w:val="20"/>
        </w:rPr>
        <w:t>Grilo</w:t>
      </w:r>
      <w:proofErr w:type="spellEnd"/>
      <w:r w:rsidRPr="00735F86">
        <w:rPr>
          <w:rFonts w:asciiTheme="minorHAnsi" w:hAnsiTheme="minorHAnsi" w:cstheme="majorBidi"/>
          <w:sz w:val="20"/>
          <w:szCs w:val="20"/>
        </w:rPr>
        <w:t xml:space="preserve"> 2021). Cela soulève des préoccupations quant à l'écart entre les taux d'aide recherchée et les taux attendus selon les études épidémiologiques sur les troubles de l'alimentation (Udo &amp; </w:t>
      </w:r>
      <w:proofErr w:type="spellStart"/>
      <w:r w:rsidRPr="00735F86">
        <w:rPr>
          <w:rFonts w:asciiTheme="minorHAnsi" w:hAnsiTheme="minorHAnsi" w:cstheme="majorBidi"/>
          <w:sz w:val="20"/>
          <w:szCs w:val="20"/>
        </w:rPr>
        <w:t>Grilo</w:t>
      </w:r>
      <w:proofErr w:type="spellEnd"/>
      <w:r w:rsidRPr="00735F86">
        <w:rPr>
          <w:rFonts w:asciiTheme="minorHAnsi" w:hAnsiTheme="minorHAnsi" w:cstheme="majorBidi"/>
          <w:sz w:val="20"/>
          <w:szCs w:val="20"/>
        </w:rPr>
        <w:t xml:space="preserve"> 2018).</w:t>
      </w:r>
    </w:p>
    <w:p w14:paraId="36360BB9" w14:textId="61897F9C" w:rsidR="00735F86" w:rsidRDefault="00735F86" w:rsidP="00735F86">
      <w:pPr>
        <w:rPr>
          <w:rFonts w:asciiTheme="minorHAnsi" w:hAnsiTheme="minorHAnsi" w:cstheme="majorBidi"/>
          <w:sz w:val="20"/>
          <w:szCs w:val="20"/>
        </w:rPr>
      </w:pPr>
      <w:r w:rsidRPr="00735F86">
        <w:rPr>
          <w:rFonts w:asciiTheme="minorHAnsi" w:hAnsiTheme="minorHAnsi" w:cstheme="majorBidi"/>
          <w:sz w:val="20"/>
          <w:szCs w:val="20"/>
        </w:rPr>
        <w:t>Ce besoin de diversité s'ajoute aux complexités et aux obstacles de longue date, notamment en matière de recrutement, auxquels font face les chercheurs dans le domaine des TCA (</w:t>
      </w:r>
      <w:proofErr w:type="spellStart"/>
      <w:r w:rsidRPr="00735F86">
        <w:rPr>
          <w:rFonts w:asciiTheme="minorHAnsi" w:hAnsiTheme="minorHAnsi" w:cstheme="majorBidi"/>
          <w:sz w:val="20"/>
          <w:szCs w:val="20"/>
        </w:rPr>
        <w:t>Agras</w:t>
      </w:r>
      <w:proofErr w:type="spellEnd"/>
      <w:r w:rsidRPr="00735F86">
        <w:rPr>
          <w:rFonts w:asciiTheme="minorHAnsi" w:hAnsiTheme="minorHAnsi" w:cstheme="majorBidi"/>
          <w:sz w:val="20"/>
          <w:szCs w:val="20"/>
        </w:rPr>
        <w:t xml:space="preserve"> et al. 2004, Lock et al. 2012).</w:t>
      </w:r>
    </w:p>
    <w:p w14:paraId="43C6C694" w14:textId="77777777" w:rsidR="00E229FA" w:rsidRPr="00735F86" w:rsidRDefault="00E229FA" w:rsidP="00735F86">
      <w:pPr>
        <w:rPr>
          <w:rFonts w:asciiTheme="minorHAnsi" w:hAnsiTheme="minorHAnsi" w:cstheme="majorBidi"/>
          <w:sz w:val="20"/>
          <w:szCs w:val="20"/>
        </w:rPr>
      </w:pPr>
    </w:p>
    <w:p w14:paraId="60EB39B8" w14:textId="77777777" w:rsidR="00E229FA" w:rsidRDefault="00E229FA" w:rsidP="00E229FA">
      <w:pPr>
        <w:rPr>
          <w:rFonts w:asciiTheme="majorBidi" w:hAnsiTheme="majorBidi" w:cstheme="majorBidi"/>
          <w:color w:val="CC0000"/>
          <w:sz w:val="24"/>
          <w:szCs w:val="24"/>
        </w:rPr>
      </w:pPr>
      <w:r w:rsidRPr="00E229FA">
        <w:rPr>
          <w:rFonts w:asciiTheme="majorBidi" w:hAnsiTheme="majorBidi" w:cstheme="majorBidi"/>
          <w:color w:val="CC0000"/>
          <w:sz w:val="24"/>
          <w:szCs w:val="24"/>
        </w:rPr>
        <w:t>Effets du genre, de l'ethnicité et de l'éducation :</w:t>
      </w:r>
    </w:p>
    <w:p w14:paraId="5C719E1B" w14:textId="77777777" w:rsidR="00E229FA" w:rsidRPr="00E229FA" w:rsidRDefault="00E229FA" w:rsidP="00E229FA">
      <w:pPr>
        <w:rPr>
          <w:rFonts w:asciiTheme="majorBidi" w:hAnsiTheme="majorBidi" w:cstheme="majorBidi"/>
          <w:color w:val="CC0000"/>
          <w:sz w:val="24"/>
          <w:szCs w:val="24"/>
        </w:rPr>
      </w:pPr>
    </w:p>
    <w:p w14:paraId="3B1234CA" w14:textId="286D7DC6" w:rsidR="00E229FA" w:rsidRDefault="00E229FA" w:rsidP="00BF3D9A">
      <w:pPr>
        <w:rPr>
          <w:rFonts w:asciiTheme="minorHAnsi" w:hAnsiTheme="minorHAnsi" w:cstheme="majorBidi"/>
          <w:sz w:val="20"/>
          <w:szCs w:val="20"/>
        </w:rPr>
      </w:pPr>
      <w:r w:rsidRPr="00E229FA">
        <w:rPr>
          <w:rFonts w:asciiTheme="minorHAnsi" w:hAnsiTheme="minorHAnsi" w:cstheme="majorBidi"/>
          <w:sz w:val="20"/>
          <w:szCs w:val="20"/>
        </w:rPr>
        <w:t xml:space="preserve">Les essais contrôlés randomisés (ECR) sur l'hyperphagie boulimique (BED) montrent une meilleure diversité en termes de genre, de race et d'éducation par rapport à ceux sur l'anorexie et la boulimie. Les analyses indiquent que la race et le sexe n'affectent pas significativement les résultats des traitements (Thompson-Brenner et al. 2013, </w:t>
      </w:r>
      <w:proofErr w:type="spellStart"/>
      <w:r w:rsidRPr="00E229FA">
        <w:rPr>
          <w:rFonts w:asciiTheme="minorHAnsi" w:hAnsiTheme="minorHAnsi" w:cstheme="majorBidi"/>
          <w:sz w:val="20"/>
          <w:szCs w:val="20"/>
        </w:rPr>
        <w:t>Shingleton</w:t>
      </w:r>
      <w:proofErr w:type="spellEnd"/>
      <w:r w:rsidRPr="00E229FA">
        <w:rPr>
          <w:rFonts w:asciiTheme="minorHAnsi" w:hAnsiTheme="minorHAnsi" w:cstheme="majorBidi"/>
          <w:sz w:val="20"/>
          <w:szCs w:val="20"/>
        </w:rPr>
        <w:t xml:space="preserve"> et al. 2015</w:t>
      </w:r>
      <w:r w:rsidR="00BF3D9A">
        <w:rPr>
          <w:rFonts w:asciiTheme="minorHAnsi" w:hAnsiTheme="minorHAnsi" w:cstheme="majorBidi"/>
          <w:sz w:val="20"/>
          <w:szCs w:val="20"/>
        </w:rPr>
        <w:t>)</w:t>
      </w:r>
    </w:p>
    <w:p w14:paraId="224739CC" w14:textId="45C52EBF" w:rsidR="00E229FA" w:rsidRDefault="00E229FA" w:rsidP="00E229FA">
      <w:pPr>
        <w:rPr>
          <w:rFonts w:asciiTheme="minorHAnsi" w:hAnsiTheme="minorHAnsi" w:cstheme="majorBidi"/>
          <w:sz w:val="20"/>
          <w:szCs w:val="20"/>
        </w:rPr>
      </w:pPr>
      <w:r w:rsidRPr="00E229FA">
        <w:rPr>
          <w:rFonts w:asciiTheme="minorHAnsi" w:hAnsiTheme="minorHAnsi" w:cstheme="majorBidi"/>
          <w:sz w:val="20"/>
          <w:szCs w:val="20"/>
        </w:rPr>
        <w:t xml:space="preserve">En revanche, il y a peu de données sur l'impact du sexe et de l'ethnicité sur les résultats des traitements pour l'anorexie et la boulimie, et les études actuelles n'indiquent pas de différences significatives selon le sexe (Brown &amp; </w:t>
      </w:r>
      <w:proofErr w:type="spellStart"/>
      <w:r w:rsidRPr="00E229FA">
        <w:rPr>
          <w:rFonts w:asciiTheme="minorHAnsi" w:hAnsiTheme="minorHAnsi" w:cstheme="majorBidi"/>
          <w:sz w:val="20"/>
          <w:szCs w:val="20"/>
        </w:rPr>
        <w:t>Keel</w:t>
      </w:r>
      <w:proofErr w:type="spellEnd"/>
      <w:r w:rsidRPr="00E229FA">
        <w:rPr>
          <w:rFonts w:asciiTheme="minorHAnsi" w:hAnsiTheme="minorHAnsi" w:cstheme="majorBidi"/>
          <w:sz w:val="20"/>
          <w:szCs w:val="20"/>
        </w:rPr>
        <w:t xml:space="preserve"> 2023). Des recherches supplémentaires sont nécessaires pour examiner les médiateurs et modérateurs dans divers services d'urgence (</w:t>
      </w:r>
      <w:proofErr w:type="spellStart"/>
      <w:r w:rsidRPr="00E229FA">
        <w:rPr>
          <w:rFonts w:asciiTheme="minorHAnsi" w:hAnsiTheme="minorHAnsi" w:cstheme="majorBidi"/>
          <w:sz w:val="20"/>
          <w:szCs w:val="20"/>
        </w:rPr>
        <w:t>Linardon</w:t>
      </w:r>
      <w:proofErr w:type="spellEnd"/>
      <w:r w:rsidRPr="00E229FA">
        <w:rPr>
          <w:rFonts w:asciiTheme="minorHAnsi" w:hAnsiTheme="minorHAnsi" w:cstheme="majorBidi"/>
          <w:sz w:val="20"/>
          <w:szCs w:val="20"/>
        </w:rPr>
        <w:t xml:space="preserve"> et al. 2017).</w:t>
      </w:r>
    </w:p>
    <w:p w14:paraId="4C73A64C" w14:textId="77777777" w:rsidR="007833C9" w:rsidRPr="00E229FA" w:rsidRDefault="007833C9" w:rsidP="00E229FA">
      <w:pPr>
        <w:rPr>
          <w:rFonts w:asciiTheme="minorHAnsi" w:hAnsiTheme="minorHAnsi" w:cstheme="majorBidi"/>
          <w:sz w:val="20"/>
          <w:szCs w:val="20"/>
        </w:rPr>
      </w:pPr>
    </w:p>
    <w:p w14:paraId="4C2348B8" w14:textId="6954E6F2" w:rsidR="007833C9" w:rsidRPr="007833C9" w:rsidRDefault="007833C9" w:rsidP="007833C9">
      <w:pPr>
        <w:rPr>
          <w:rFonts w:asciiTheme="majorBidi" w:hAnsiTheme="majorBidi" w:cstheme="majorBidi"/>
          <w:b/>
          <w:bCs/>
          <w:color w:val="CC0000"/>
          <w:sz w:val="24"/>
          <w:szCs w:val="24"/>
        </w:rPr>
      </w:pPr>
      <w:r w:rsidRPr="007833C9">
        <w:rPr>
          <w:rFonts w:asciiTheme="majorBidi" w:hAnsiTheme="majorBidi" w:cstheme="majorBidi"/>
          <w:b/>
          <w:bCs/>
          <w:color w:val="CC0000"/>
          <w:sz w:val="24"/>
          <w:szCs w:val="24"/>
        </w:rPr>
        <w:t>Besoin de traitements innovants et cliniquement pertinents :</w:t>
      </w:r>
    </w:p>
    <w:p w14:paraId="4CD45DC7" w14:textId="77777777" w:rsidR="007833C9" w:rsidRPr="007833C9" w:rsidRDefault="007833C9" w:rsidP="007833C9">
      <w:pPr>
        <w:rPr>
          <w:rFonts w:asciiTheme="minorHAnsi" w:hAnsiTheme="minorHAnsi" w:cstheme="majorBidi"/>
          <w:b/>
          <w:bCs/>
          <w:sz w:val="20"/>
          <w:szCs w:val="20"/>
        </w:rPr>
      </w:pPr>
    </w:p>
    <w:p w14:paraId="00A9A4DF" w14:textId="0C67E9A1" w:rsidR="007833C9" w:rsidRDefault="007833C9" w:rsidP="007833C9">
      <w:pPr>
        <w:rPr>
          <w:rFonts w:asciiTheme="minorHAnsi" w:hAnsiTheme="minorHAnsi" w:cstheme="majorBidi"/>
          <w:sz w:val="20"/>
          <w:szCs w:val="20"/>
        </w:rPr>
      </w:pPr>
      <w:r w:rsidRPr="007833C9">
        <w:rPr>
          <w:rFonts w:asciiTheme="minorHAnsi" w:hAnsiTheme="minorHAnsi" w:cstheme="majorBidi"/>
          <w:sz w:val="20"/>
          <w:szCs w:val="20"/>
        </w:rPr>
        <w:t>La plupart des recherches sur les troubles de l’alimentation reposent sur des ECR traditionnels, souvent considérés comme la norme. Cependant, des études quasi expérimentales montrent que les traitements rigoureux</w:t>
      </w:r>
      <w:r>
        <w:rPr>
          <w:rFonts w:asciiTheme="minorHAnsi" w:hAnsiTheme="minorHAnsi" w:cstheme="majorBidi"/>
          <w:sz w:val="20"/>
          <w:szCs w:val="20"/>
        </w:rPr>
        <w:t xml:space="preserve"> </w:t>
      </w:r>
      <w:r w:rsidRPr="007833C9">
        <w:rPr>
          <w:rFonts w:asciiTheme="minorHAnsi" w:hAnsiTheme="minorHAnsi" w:cstheme="majorBidi"/>
          <w:sz w:val="20"/>
          <w:szCs w:val="20"/>
        </w:rPr>
        <w:t>comme la TCC</w:t>
      </w:r>
      <w:r>
        <w:rPr>
          <w:rFonts w:asciiTheme="minorHAnsi" w:hAnsiTheme="minorHAnsi" w:cstheme="majorBidi"/>
          <w:sz w:val="20"/>
          <w:szCs w:val="20"/>
        </w:rPr>
        <w:t xml:space="preserve"> </w:t>
      </w:r>
      <w:r w:rsidRPr="007833C9">
        <w:rPr>
          <w:rFonts w:asciiTheme="minorHAnsi" w:hAnsiTheme="minorHAnsi" w:cstheme="majorBidi"/>
          <w:sz w:val="20"/>
          <w:szCs w:val="20"/>
        </w:rPr>
        <w:t>appliquées</w:t>
      </w:r>
      <w:r>
        <w:rPr>
          <w:rFonts w:asciiTheme="minorHAnsi" w:hAnsiTheme="minorHAnsi" w:cstheme="majorBidi"/>
          <w:sz w:val="20"/>
          <w:szCs w:val="20"/>
        </w:rPr>
        <w:t xml:space="preserve"> dans des contextes réels variés </w:t>
      </w:r>
      <w:r w:rsidRPr="007833C9">
        <w:rPr>
          <w:rFonts w:asciiTheme="minorHAnsi" w:hAnsiTheme="minorHAnsi" w:cstheme="majorBidi"/>
          <w:sz w:val="20"/>
          <w:szCs w:val="20"/>
        </w:rPr>
        <w:t>leurs bénéfices sont légèrement atténués (van den Berg et al. 2020, Turner et al. 2015)</w:t>
      </w:r>
    </w:p>
    <w:p w14:paraId="52313B41" w14:textId="77777777" w:rsidR="00746B0D" w:rsidRPr="007833C9" w:rsidRDefault="00746B0D" w:rsidP="007833C9">
      <w:pPr>
        <w:rPr>
          <w:rFonts w:asciiTheme="minorHAnsi" w:hAnsiTheme="minorHAnsi" w:cstheme="majorBidi"/>
          <w:sz w:val="20"/>
          <w:szCs w:val="20"/>
        </w:rPr>
      </w:pPr>
    </w:p>
    <w:p w14:paraId="234E0EA2" w14:textId="22B5EBC1" w:rsidR="00746B0D" w:rsidRPr="00746B0D" w:rsidRDefault="00746B0D" w:rsidP="00746B0D">
      <w:pPr>
        <w:rPr>
          <w:rFonts w:asciiTheme="majorBidi" w:hAnsiTheme="majorBidi" w:cstheme="majorBidi"/>
          <w:sz w:val="24"/>
          <w:szCs w:val="24"/>
        </w:rPr>
      </w:pPr>
      <w:r>
        <w:rPr>
          <w:rFonts w:asciiTheme="minorHAnsi" w:hAnsiTheme="minorHAnsi" w:cstheme="majorBidi"/>
          <w:sz w:val="20"/>
          <w:szCs w:val="20"/>
        </w:rPr>
        <w:t xml:space="preserve"> </w:t>
      </w:r>
      <w:r w:rsidRPr="00746B0D">
        <w:rPr>
          <w:rFonts w:asciiTheme="majorBidi" w:hAnsiTheme="majorBidi" w:cstheme="majorBidi"/>
          <w:color w:val="CC0000"/>
          <w:sz w:val="24"/>
          <w:szCs w:val="24"/>
        </w:rPr>
        <w:t>Traitements séquencés</w:t>
      </w:r>
      <w:r>
        <w:rPr>
          <w:rFonts w:asciiTheme="majorBidi" w:hAnsiTheme="majorBidi" w:cstheme="majorBidi"/>
          <w:color w:val="CC0000"/>
          <w:sz w:val="24"/>
          <w:szCs w:val="24"/>
        </w:rPr>
        <w:t> :</w:t>
      </w:r>
    </w:p>
    <w:p w14:paraId="3488BB0B" w14:textId="77777777" w:rsidR="00746B0D" w:rsidRPr="00746B0D" w:rsidRDefault="00746B0D" w:rsidP="00746B0D">
      <w:pPr>
        <w:rPr>
          <w:rFonts w:asciiTheme="minorHAnsi" w:hAnsiTheme="minorHAnsi"/>
          <w:b/>
          <w:bCs/>
          <w:sz w:val="20"/>
          <w:szCs w:val="20"/>
        </w:rPr>
      </w:pPr>
    </w:p>
    <w:p w14:paraId="049426BC" w14:textId="77777777" w:rsidR="00746B0D" w:rsidRPr="00746B0D" w:rsidRDefault="00746B0D" w:rsidP="00746B0D">
      <w:pPr>
        <w:rPr>
          <w:rFonts w:asciiTheme="minorHAnsi" w:hAnsiTheme="minorHAnsi" w:cstheme="majorBidi"/>
          <w:sz w:val="20"/>
          <w:szCs w:val="20"/>
        </w:rPr>
      </w:pPr>
      <w:r w:rsidRPr="00746B0D">
        <w:rPr>
          <w:rFonts w:asciiTheme="minorHAnsi" w:hAnsiTheme="minorHAnsi" w:cstheme="majorBidi"/>
          <w:sz w:val="20"/>
          <w:szCs w:val="20"/>
        </w:rPr>
        <w:t>Bien que la recherche se soit concentrée sur l'efficacité des interventions pour les troubles de l'alimentation, peu d'attention a été accordée à la manière d'améliorer les résultats globaux. L'approche classique de combiner les traitements n'a pas montré d'avantages significatifs (</w:t>
      </w:r>
      <w:proofErr w:type="spellStart"/>
      <w:r w:rsidRPr="00746B0D">
        <w:rPr>
          <w:rFonts w:asciiTheme="minorHAnsi" w:hAnsiTheme="minorHAnsi" w:cstheme="majorBidi"/>
          <w:sz w:val="20"/>
          <w:szCs w:val="20"/>
        </w:rPr>
        <w:t>Reas</w:t>
      </w:r>
      <w:proofErr w:type="spellEnd"/>
      <w:r w:rsidRPr="00746B0D">
        <w:rPr>
          <w:rFonts w:asciiTheme="minorHAnsi" w:hAnsiTheme="minorHAnsi" w:cstheme="majorBidi"/>
          <w:sz w:val="20"/>
          <w:szCs w:val="20"/>
        </w:rPr>
        <w:t xml:space="preserve"> et </w:t>
      </w:r>
      <w:proofErr w:type="spellStart"/>
      <w:r w:rsidRPr="00746B0D">
        <w:rPr>
          <w:rFonts w:asciiTheme="minorHAnsi" w:hAnsiTheme="minorHAnsi" w:cstheme="majorBidi"/>
          <w:sz w:val="20"/>
          <w:szCs w:val="20"/>
        </w:rPr>
        <w:t>Grilo</w:t>
      </w:r>
      <w:proofErr w:type="spellEnd"/>
      <w:r w:rsidRPr="00746B0D">
        <w:rPr>
          <w:rFonts w:asciiTheme="minorHAnsi" w:hAnsiTheme="minorHAnsi" w:cstheme="majorBidi"/>
          <w:sz w:val="20"/>
          <w:szCs w:val="20"/>
        </w:rPr>
        <w:t xml:space="preserve"> 2021). Par exemple, la comorbidité psychiatrique n'a pas modéré les résultats des traitements pharmacologiques pour la boulimie (BN) ou les approches combinées pour l'hyperphagie boulimique (BED) (</w:t>
      </w:r>
      <w:proofErr w:type="spellStart"/>
      <w:r w:rsidRPr="00746B0D">
        <w:rPr>
          <w:rFonts w:asciiTheme="minorHAnsi" w:hAnsiTheme="minorHAnsi" w:cstheme="majorBidi"/>
          <w:sz w:val="20"/>
          <w:szCs w:val="20"/>
        </w:rPr>
        <w:t>Grilo</w:t>
      </w:r>
      <w:proofErr w:type="spellEnd"/>
      <w:r w:rsidRPr="00746B0D">
        <w:rPr>
          <w:rFonts w:asciiTheme="minorHAnsi" w:hAnsiTheme="minorHAnsi" w:cstheme="majorBidi"/>
          <w:sz w:val="20"/>
          <w:szCs w:val="20"/>
        </w:rPr>
        <w:t xml:space="preserve"> et al. 2012b ; </w:t>
      </w:r>
      <w:proofErr w:type="spellStart"/>
      <w:r w:rsidRPr="00746B0D">
        <w:rPr>
          <w:rFonts w:asciiTheme="minorHAnsi" w:hAnsiTheme="minorHAnsi" w:cstheme="majorBidi"/>
          <w:sz w:val="20"/>
          <w:szCs w:val="20"/>
        </w:rPr>
        <w:t>Lydecker</w:t>
      </w:r>
      <w:proofErr w:type="spellEnd"/>
      <w:r w:rsidRPr="00746B0D">
        <w:rPr>
          <w:rFonts w:asciiTheme="minorHAnsi" w:hAnsiTheme="minorHAnsi" w:cstheme="majorBidi"/>
          <w:sz w:val="20"/>
          <w:szCs w:val="20"/>
        </w:rPr>
        <w:t xml:space="preserve"> et </w:t>
      </w:r>
      <w:proofErr w:type="spellStart"/>
      <w:r w:rsidRPr="00746B0D">
        <w:rPr>
          <w:rFonts w:asciiTheme="minorHAnsi" w:hAnsiTheme="minorHAnsi" w:cstheme="majorBidi"/>
          <w:sz w:val="20"/>
          <w:szCs w:val="20"/>
        </w:rPr>
        <w:t>Grilo</w:t>
      </w:r>
      <w:proofErr w:type="spellEnd"/>
      <w:r w:rsidRPr="00746B0D">
        <w:rPr>
          <w:rFonts w:asciiTheme="minorHAnsi" w:hAnsiTheme="minorHAnsi" w:cstheme="majorBidi"/>
          <w:sz w:val="20"/>
          <w:szCs w:val="20"/>
        </w:rPr>
        <w:t xml:space="preserve"> 2022).</w:t>
      </w:r>
    </w:p>
    <w:p w14:paraId="0DA91C14" w14:textId="0CA213DB" w:rsidR="00746B0D" w:rsidRDefault="00746B0D" w:rsidP="00746B0D">
      <w:pPr>
        <w:rPr>
          <w:rFonts w:asciiTheme="minorHAnsi" w:hAnsiTheme="minorHAnsi" w:cstheme="majorBidi"/>
          <w:sz w:val="20"/>
          <w:szCs w:val="20"/>
        </w:rPr>
      </w:pPr>
      <w:r w:rsidRPr="00746B0D">
        <w:rPr>
          <w:rFonts w:asciiTheme="minorHAnsi" w:hAnsiTheme="minorHAnsi" w:cstheme="majorBidi"/>
          <w:sz w:val="20"/>
          <w:szCs w:val="20"/>
        </w:rPr>
        <w:t>Un ECR (</w:t>
      </w:r>
      <w:proofErr w:type="spellStart"/>
      <w:r w:rsidRPr="00746B0D">
        <w:rPr>
          <w:rFonts w:asciiTheme="minorHAnsi" w:hAnsiTheme="minorHAnsi" w:cstheme="majorBidi"/>
          <w:sz w:val="20"/>
          <w:szCs w:val="20"/>
        </w:rPr>
        <w:t>Grilo</w:t>
      </w:r>
      <w:proofErr w:type="spellEnd"/>
      <w:r w:rsidRPr="00746B0D">
        <w:rPr>
          <w:rFonts w:asciiTheme="minorHAnsi" w:hAnsiTheme="minorHAnsi" w:cstheme="majorBidi"/>
          <w:sz w:val="20"/>
          <w:szCs w:val="20"/>
        </w:rPr>
        <w:t xml:space="preserve"> et al. 2011) a comparé la TCC, la perte de poids comportementale (BWL) et une approche séquentielle de TCC suivie de BWL. </w:t>
      </w:r>
      <w:r w:rsidRPr="00746B0D">
        <w:rPr>
          <w:rFonts w:asciiTheme="minorHAnsi" w:hAnsiTheme="minorHAnsi"/>
          <w:sz w:val="20"/>
          <w:szCs w:val="20"/>
        </w:rPr>
        <w:t>L</w:t>
      </w:r>
      <w:r w:rsidRPr="00746B0D">
        <w:rPr>
          <w:rFonts w:asciiTheme="minorHAnsi" w:hAnsiTheme="minorHAnsi" w:cstheme="majorBidi"/>
          <w:sz w:val="20"/>
          <w:szCs w:val="20"/>
        </w:rPr>
        <w:t>’approche séquentielle n'a pas offert d'avantage supplémentaire par rapport aux traitements individuels.</w:t>
      </w:r>
    </w:p>
    <w:p w14:paraId="3CC3C75A" w14:textId="77777777" w:rsidR="00E1208D" w:rsidRDefault="00E1208D" w:rsidP="00746B0D">
      <w:pPr>
        <w:rPr>
          <w:rFonts w:asciiTheme="minorHAnsi" w:hAnsiTheme="minorHAnsi" w:cstheme="majorBidi"/>
          <w:sz w:val="20"/>
          <w:szCs w:val="20"/>
        </w:rPr>
      </w:pPr>
    </w:p>
    <w:p w14:paraId="653B20CC" w14:textId="4F0096BE" w:rsidR="00E1208D" w:rsidRDefault="00E1208D" w:rsidP="00E1208D">
      <w:pPr>
        <w:rPr>
          <w:rFonts w:asciiTheme="majorBidi" w:hAnsiTheme="majorBidi" w:cstheme="majorBidi"/>
          <w:color w:val="CC0000"/>
          <w:sz w:val="24"/>
          <w:szCs w:val="24"/>
        </w:rPr>
      </w:pPr>
      <w:r w:rsidRPr="00E1208D">
        <w:rPr>
          <w:rFonts w:asciiTheme="majorBidi" w:hAnsiTheme="majorBidi" w:cstheme="majorBidi"/>
          <w:color w:val="CC0000"/>
          <w:sz w:val="24"/>
          <w:szCs w:val="24"/>
        </w:rPr>
        <w:t>Modèles de soins par paliers</w:t>
      </w:r>
      <w:r>
        <w:rPr>
          <w:rFonts w:asciiTheme="majorBidi" w:hAnsiTheme="majorBidi" w:cstheme="majorBidi"/>
          <w:color w:val="CC0000"/>
          <w:sz w:val="24"/>
          <w:szCs w:val="24"/>
        </w:rPr>
        <w:t> :</w:t>
      </w:r>
    </w:p>
    <w:p w14:paraId="7C065AA7" w14:textId="77777777" w:rsidR="00E1208D" w:rsidRPr="00E1208D" w:rsidRDefault="00E1208D" w:rsidP="00E1208D">
      <w:pPr>
        <w:rPr>
          <w:rFonts w:asciiTheme="majorBidi" w:hAnsiTheme="majorBidi" w:cstheme="majorBidi"/>
          <w:color w:val="CC0000"/>
          <w:sz w:val="24"/>
          <w:szCs w:val="24"/>
        </w:rPr>
      </w:pPr>
    </w:p>
    <w:p w14:paraId="286631F0" w14:textId="77777777" w:rsidR="00E1208D" w:rsidRPr="00E1208D" w:rsidRDefault="00E1208D" w:rsidP="00E1208D">
      <w:pPr>
        <w:rPr>
          <w:rFonts w:asciiTheme="minorHAnsi" w:hAnsiTheme="minorHAnsi" w:cstheme="majorBidi"/>
          <w:sz w:val="20"/>
          <w:szCs w:val="20"/>
        </w:rPr>
      </w:pPr>
      <w:r w:rsidRPr="00E1208D">
        <w:rPr>
          <w:rFonts w:asciiTheme="minorHAnsi" w:hAnsiTheme="minorHAnsi" w:cstheme="majorBidi"/>
          <w:sz w:val="20"/>
          <w:szCs w:val="20"/>
        </w:rPr>
        <w:t>Les modèles de soins par paliers offrent une alternative aux approches traditionnelles, en cherchant à améliorer l'accès aux traitements tout en optimisant les résultats. La recherche a montré l'efficacité de méthodes comme l'auto-assistance et l'auto-assistance guidée en TCC (</w:t>
      </w:r>
      <w:proofErr w:type="spellStart"/>
      <w:r w:rsidRPr="00E1208D">
        <w:rPr>
          <w:rFonts w:asciiTheme="minorHAnsi" w:hAnsiTheme="minorHAnsi" w:cstheme="majorBidi"/>
          <w:sz w:val="20"/>
          <w:szCs w:val="20"/>
        </w:rPr>
        <w:t>Grilo</w:t>
      </w:r>
      <w:proofErr w:type="spellEnd"/>
      <w:r w:rsidRPr="00E1208D">
        <w:rPr>
          <w:rFonts w:asciiTheme="minorHAnsi" w:hAnsiTheme="minorHAnsi" w:cstheme="majorBidi"/>
          <w:sz w:val="20"/>
          <w:szCs w:val="20"/>
        </w:rPr>
        <w:t xml:space="preserve"> &amp; </w:t>
      </w:r>
      <w:proofErr w:type="spellStart"/>
      <w:r w:rsidRPr="00E1208D">
        <w:rPr>
          <w:rFonts w:asciiTheme="minorHAnsi" w:hAnsiTheme="minorHAnsi" w:cstheme="majorBidi"/>
          <w:sz w:val="20"/>
          <w:szCs w:val="20"/>
        </w:rPr>
        <w:t>Masheb</w:t>
      </w:r>
      <w:proofErr w:type="spellEnd"/>
      <w:r w:rsidRPr="00E1208D">
        <w:rPr>
          <w:rFonts w:asciiTheme="minorHAnsi" w:hAnsiTheme="minorHAnsi" w:cstheme="majorBidi"/>
          <w:sz w:val="20"/>
          <w:szCs w:val="20"/>
        </w:rPr>
        <w:t xml:space="preserve"> 2005, Wilson &amp; </w:t>
      </w:r>
      <w:proofErr w:type="spellStart"/>
      <w:r w:rsidRPr="00E1208D">
        <w:rPr>
          <w:rFonts w:asciiTheme="minorHAnsi" w:hAnsiTheme="minorHAnsi" w:cstheme="majorBidi"/>
          <w:sz w:val="20"/>
          <w:szCs w:val="20"/>
        </w:rPr>
        <w:t>Zandberg</w:t>
      </w:r>
      <w:proofErr w:type="spellEnd"/>
      <w:r w:rsidRPr="00E1208D">
        <w:rPr>
          <w:rFonts w:asciiTheme="minorHAnsi" w:hAnsiTheme="minorHAnsi" w:cstheme="majorBidi"/>
          <w:sz w:val="20"/>
          <w:szCs w:val="20"/>
        </w:rPr>
        <w:t xml:space="preserve"> 2012), influençant les lignes directrices du NICE (2017) pour la BN et le BED.</w:t>
      </w:r>
    </w:p>
    <w:p w14:paraId="73969961" w14:textId="77777777" w:rsidR="00E1208D" w:rsidRDefault="00E1208D" w:rsidP="00E1208D">
      <w:pPr>
        <w:rPr>
          <w:rFonts w:asciiTheme="minorHAnsi" w:hAnsiTheme="minorHAnsi" w:cstheme="majorBidi"/>
          <w:sz w:val="20"/>
          <w:szCs w:val="20"/>
        </w:rPr>
      </w:pPr>
      <w:r w:rsidRPr="00E1208D">
        <w:rPr>
          <w:rFonts w:asciiTheme="minorHAnsi" w:hAnsiTheme="minorHAnsi" w:cstheme="majorBidi"/>
          <w:sz w:val="20"/>
          <w:szCs w:val="20"/>
        </w:rPr>
        <w:t>Cependant, il reste des lacunes concernant les modérateurs des réponses aux traitements (</w:t>
      </w:r>
      <w:proofErr w:type="spellStart"/>
      <w:r w:rsidRPr="00E1208D">
        <w:rPr>
          <w:rFonts w:asciiTheme="minorHAnsi" w:hAnsiTheme="minorHAnsi" w:cstheme="majorBidi"/>
          <w:sz w:val="20"/>
          <w:szCs w:val="20"/>
        </w:rPr>
        <w:t>Linardon</w:t>
      </w:r>
      <w:proofErr w:type="spellEnd"/>
      <w:r w:rsidRPr="00E1208D">
        <w:rPr>
          <w:rFonts w:asciiTheme="minorHAnsi" w:hAnsiTheme="minorHAnsi" w:cstheme="majorBidi"/>
          <w:sz w:val="20"/>
          <w:szCs w:val="20"/>
        </w:rPr>
        <w:t xml:space="preserve"> et al. 2017). Le NICE recommande de commencer par une TCC d'auto-assistance guidée, avec un passage à une TCC thérapeutique si aucune amélioration n'est constatée après un mois.</w:t>
      </w:r>
    </w:p>
    <w:p w14:paraId="6162AFC8" w14:textId="77777777" w:rsidR="00E1208D" w:rsidRPr="00E1208D" w:rsidRDefault="00E1208D" w:rsidP="00E1208D">
      <w:pPr>
        <w:rPr>
          <w:rFonts w:asciiTheme="minorHAnsi" w:hAnsiTheme="minorHAnsi" w:cstheme="majorBidi"/>
          <w:sz w:val="20"/>
          <w:szCs w:val="20"/>
        </w:rPr>
      </w:pPr>
    </w:p>
    <w:p w14:paraId="050E7E85" w14:textId="372C8EF3" w:rsidR="00E1208D" w:rsidRPr="00E1208D" w:rsidRDefault="00E1208D" w:rsidP="00E1208D">
      <w:pPr>
        <w:rPr>
          <w:rFonts w:asciiTheme="majorBidi" w:hAnsiTheme="majorBidi" w:cstheme="majorBidi"/>
          <w:color w:val="CC0000"/>
          <w:sz w:val="24"/>
          <w:szCs w:val="24"/>
        </w:rPr>
      </w:pPr>
      <w:r w:rsidRPr="00E1208D">
        <w:rPr>
          <w:rFonts w:asciiTheme="majorBidi" w:hAnsiTheme="majorBidi" w:cstheme="majorBidi"/>
          <w:color w:val="CC0000"/>
          <w:sz w:val="24"/>
          <w:szCs w:val="24"/>
        </w:rPr>
        <w:t>Essais randomisés à allocation multiple séquencés adaptatifs :</w:t>
      </w:r>
    </w:p>
    <w:p w14:paraId="71936897" w14:textId="77777777" w:rsidR="00E1208D" w:rsidRPr="00E1208D" w:rsidRDefault="00E1208D" w:rsidP="00E1208D">
      <w:pPr>
        <w:rPr>
          <w:rFonts w:asciiTheme="minorHAnsi" w:hAnsiTheme="minorHAnsi" w:cstheme="majorBidi"/>
          <w:b/>
          <w:bCs/>
          <w:sz w:val="20"/>
          <w:szCs w:val="20"/>
        </w:rPr>
      </w:pPr>
    </w:p>
    <w:p w14:paraId="181862B3" w14:textId="77777777" w:rsidR="00E1208D" w:rsidRPr="00E1208D" w:rsidRDefault="00E1208D" w:rsidP="00E1208D">
      <w:pPr>
        <w:rPr>
          <w:rFonts w:asciiTheme="minorHAnsi" w:hAnsiTheme="minorHAnsi" w:cstheme="majorBidi"/>
          <w:sz w:val="20"/>
          <w:szCs w:val="20"/>
        </w:rPr>
      </w:pPr>
      <w:proofErr w:type="spellStart"/>
      <w:r w:rsidRPr="00E1208D">
        <w:rPr>
          <w:rFonts w:asciiTheme="minorHAnsi" w:hAnsiTheme="minorHAnsi" w:cstheme="majorBidi"/>
          <w:sz w:val="20"/>
          <w:szCs w:val="20"/>
        </w:rPr>
        <w:t>Grilo</w:t>
      </w:r>
      <w:proofErr w:type="spellEnd"/>
      <w:r w:rsidRPr="00E1208D">
        <w:rPr>
          <w:rFonts w:asciiTheme="minorHAnsi" w:hAnsiTheme="minorHAnsi" w:cstheme="majorBidi"/>
          <w:sz w:val="20"/>
          <w:szCs w:val="20"/>
        </w:rPr>
        <w:t xml:space="preserve"> et al. (2020) ont mené l'un des premiers essais randomisés séquencés adaptatifs (SMART) pour la boulimie, comparant un traitement par paliers à la thérapie comportementale biologique (TCB) standard chez 191 patients atteints de BED. Les résultats ont montré une amélioration significative de l'hyperphagie et de la perte de poids, avec des taux de rémission de 74,4 % pour la TCB contre 66,5 % pour les soins par paliers.</w:t>
      </w:r>
    </w:p>
    <w:p w14:paraId="65D139C2" w14:textId="04CE0ABF" w:rsidR="00E1208D" w:rsidRPr="00E1208D" w:rsidRDefault="00E1208D" w:rsidP="00E1208D">
      <w:pPr>
        <w:rPr>
          <w:rFonts w:asciiTheme="minorHAnsi" w:hAnsiTheme="minorHAnsi" w:cstheme="majorBidi"/>
          <w:sz w:val="20"/>
          <w:szCs w:val="20"/>
        </w:rPr>
      </w:pPr>
      <w:proofErr w:type="spellStart"/>
      <w:r w:rsidRPr="00E1208D">
        <w:rPr>
          <w:rFonts w:asciiTheme="minorHAnsi" w:hAnsiTheme="minorHAnsi" w:cstheme="majorBidi"/>
          <w:sz w:val="20"/>
          <w:szCs w:val="20"/>
        </w:rPr>
        <w:t>Grilo</w:t>
      </w:r>
      <w:proofErr w:type="spellEnd"/>
      <w:r w:rsidRPr="00E1208D">
        <w:rPr>
          <w:rFonts w:asciiTheme="minorHAnsi" w:hAnsiTheme="minorHAnsi" w:cstheme="majorBidi"/>
          <w:sz w:val="20"/>
          <w:szCs w:val="20"/>
        </w:rPr>
        <w:t xml:space="preserve"> et al. (2022; 2023) </w:t>
      </w:r>
      <w:proofErr w:type="gramStart"/>
      <w:r w:rsidRPr="00E1208D">
        <w:rPr>
          <w:rFonts w:asciiTheme="minorHAnsi" w:hAnsiTheme="minorHAnsi" w:cstheme="majorBidi"/>
          <w:sz w:val="20"/>
          <w:szCs w:val="20"/>
        </w:rPr>
        <w:t>ont</w:t>
      </w:r>
      <w:proofErr w:type="gramEnd"/>
      <w:r w:rsidRPr="00E1208D">
        <w:rPr>
          <w:rFonts w:asciiTheme="minorHAnsi" w:hAnsiTheme="minorHAnsi" w:cstheme="majorBidi"/>
          <w:sz w:val="20"/>
          <w:szCs w:val="20"/>
        </w:rPr>
        <w:t xml:space="preserve"> ensuite réalisé une étude SMART en deux étapes pour tester des traitements spécifiques, améliorant les résultats chez les patients souffrant d'hyperphagie et d'obésité.</w:t>
      </w:r>
      <w:r w:rsidRPr="00E1208D">
        <w:rPr>
          <w:rFonts w:eastAsia="Times New Roman"/>
          <w:sz w:val="24"/>
          <w:szCs w:val="24"/>
        </w:rPr>
        <w:t xml:space="preserve"> </w:t>
      </w:r>
      <w:r w:rsidRPr="00E1208D">
        <w:rPr>
          <w:rFonts w:asciiTheme="minorHAnsi" w:hAnsiTheme="minorHAnsi" w:cstheme="majorBidi"/>
          <w:sz w:val="20"/>
          <w:szCs w:val="20"/>
        </w:rPr>
        <w:t>Un autre essai a évalué la TCC pour les non-répondeurs, révélant des réductions significatives des crises de boulimie.</w:t>
      </w:r>
    </w:p>
    <w:p w14:paraId="26A1A3F1" w14:textId="77777777" w:rsidR="00E1208D" w:rsidRDefault="00E1208D" w:rsidP="00E1208D">
      <w:pPr>
        <w:rPr>
          <w:rFonts w:asciiTheme="minorHAnsi" w:hAnsiTheme="minorHAnsi" w:cstheme="majorBidi"/>
          <w:sz w:val="20"/>
          <w:szCs w:val="20"/>
        </w:rPr>
      </w:pPr>
      <w:r w:rsidRPr="00E1208D">
        <w:rPr>
          <w:rFonts w:asciiTheme="minorHAnsi" w:hAnsiTheme="minorHAnsi" w:cstheme="majorBidi"/>
          <w:sz w:val="20"/>
          <w:szCs w:val="20"/>
        </w:rPr>
        <w:t xml:space="preserve">Globalement, cette étude SMART a démontré l'efficacité du BWL, l'utilité de la </w:t>
      </w:r>
      <w:proofErr w:type="spellStart"/>
      <w:r w:rsidRPr="00E1208D">
        <w:rPr>
          <w:rFonts w:asciiTheme="minorHAnsi" w:hAnsiTheme="minorHAnsi" w:cstheme="majorBidi"/>
          <w:sz w:val="20"/>
          <w:szCs w:val="20"/>
        </w:rPr>
        <w:t>naltrexone</w:t>
      </w:r>
      <w:proofErr w:type="spellEnd"/>
      <w:r w:rsidRPr="00E1208D">
        <w:rPr>
          <w:rFonts w:asciiTheme="minorHAnsi" w:hAnsiTheme="minorHAnsi" w:cstheme="majorBidi"/>
          <w:sz w:val="20"/>
          <w:szCs w:val="20"/>
        </w:rPr>
        <w:t>/</w:t>
      </w:r>
      <w:proofErr w:type="spellStart"/>
      <w:r w:rsidRPr="00E1208D">
        <w:rPr>
          <w:rFonts w:asciiTheme="minorHAnsi" w:hAnsiTheme="minorHAnsi" w:cstheme="majorBidi"/>
          <w:sz w:val="20"/>
          <w:szCs w:val="20"/>
        </w:rPr>
        <w:t>bupropion</w:t>
      </w:r>
      <w:proofErr w:type="spellEnd"/>
      <w:r w:rsidRPr="00E1208D">
        <w:rPr>
          <w:rFonts w:asciiTheme="minorHAnsi" w:hAnsiTheme="minorHAnsi" w:cstheme="majorBidi"/>
          <w:sz w:val="20"/>
          <w:szCs w:val="20"/>
        </w:rPr>
        <w:t xml:space="preserve"> pour les répondeurs, et la pertinence de la TCC pour ceux qui ne répondaient pas à la pharmacothérapie. Cette approche offre un modèle pour étudier des traitements psychologiques et pharmacologiques dans le temps</w:t>
      </w:r>
    </w:p>
    <w:p w14:paraId="5BBD3196" w14:textId="77777777" w:rsidR="00175A2F" w:rsidRPr="00E1208D" w:rsidRDefault="00175A2F" w:rsidP="00E1208D">
      <w:pPr>
        <w:rPr>
          <w:rFonts w:asciiTheme="minorHAnsi" w:hAnsiTheme="minorHAnsi" w:cstheme="majorBidi"/>
          <w:sz w:val="20"/>
          <w:szCs w:val="20"/>
        </w:rPr>
      </w:pPr>
    </w:p>
    <w:p w14:paraId="77D7BD16" w14:textId="00C887DC" w:rsidR="00175A2F" w:rsidRPr="00175A2F" w:rsidRDefault="00175A2F" w:rsidP="00175A2F">
      <w:pPr>
        <w:rPr>
          <w:rFonts w:asciiTheme="majorBidi" w:hAnsiTheme="majorBidi" w:cstheme="majorBidi"/>
          <w:b/>
          <w:bCs/>
          <w:color w:val="CC0000"/>
          <w:sz w:val="24"/>
          <w:szCs w:val="24"/>
        </w:rPr>
      </w:pPr>
      <w:r w:rsidRPr="00175A2F">
        <w:rPr>
          <w:rFonts w:asciiTheme="majorBidi" w:hAnsiTheme="majorBidi" w:cstheme="majorBidi"/>
          <w:b/>
          <w:bCs/>
          <w:color w:val="CC0000"/>
          <w:sz w:val="24"/>
          <w:szCs w:val="24"/>
        </w:rPr>
        <w:t>ORIENTATIONS FUTURES :</w:t>
      </w:r>
    </w:p>
    <w:p w14:paraId="78A9B6FA" w14:textId="77777777" w:rsidR="00175A2F" w:rsidRPr="00175A2F" w:rsidRDefault="00175A2F" w:rsidP="00175A2F">
      <w:pPr>
        <w:rPr>
          <w:rFonts w:asciiTheme="minorHAnsi" w:hAnsiTheme="minorHAnsi" w:cstheme="majorBidi"/>
          <w:b/>
          <w:bCs/>
          <w:sz w:val="20"/>
          <w:szCs w:val="20"/>
        </w:rPr>
      </w:pPr>
    </w:p>
    <w:p w14:paraId="7A8F3135" w14:textId="26D47ECE" w:rsidR="00E1208D" w:rsidRPr="00E1208D" w:rsidRDefault="00175A2F" w:rsidP="00175A2F">
      <w:pPr>
        <w:rPr>
          <w:rFonts w:asciiTheme="minorHAnsi" w:hAnsiTheme="minorHAnsi" w:cstheme="majorBidi"/>
          <w:sz w:val="20"/>
          <w:szCs w:val="20"/>
        </w:rPr>
      </w:pPr>
      <w:r w:rsidRPr="00175A2F">
        <w:rPr>
          <w:rFonts w:asciiTheme="minorHAnsi" w:hAnsiTheme="minorHAnsi" w:cstheme="majorBidi"/>
          <w:sz w:val="20"/>
          <w:szCs w:val="20"/>
        </w:rPr>
        <w:t>Le financement limité de la recherche sur les troubles de l'alimentation a probablement ralenti le développement des traitements (</w:t>
      </w:r>
      <w:proofErr w:type="spellStart"/>
      <w:r w:rsidRPr="00175A2F">
        <w:rPr>
          <w:rFonts w:asciiTheme="minorHAnsi" w:hAnsiTheme="minorHAnsi" w:cstheme="majorBidi"/>
          <w:sz w:val="20"/>
          <w:szCs w:val="20"/>
        </w:rPr>
        <w:t>Kaye</w:t>
      </w:r>
      <w:proofErr w:type="spellEnd"/>
      <w:r w:rsidRPr="00175A2F">
        <w:rPr>
          <w:rFonts w:asciiTheme="minorHAnsi" w:hAnsiTheme="minorHAnsi" w:cstheme="majorBidi"/>
          <w:sz w:val="20"/>
          <w:szCs w:val="20"/>
        </w:rPr>
        <w:t xml:space="preserve"> et </w:t>
      </w:r>
      <w:proofErr w:type="spellStart"/>
      <w:r w:rsidRPr="00175A2F">
        <w:rPr>
          <w:rFonts w:asciiTheme="minorHAnsi" w:hAnsiTheme="minorHAnsi" w:cstheme="majorBidi"/>
          <w:sz w:val="20"/>
          <w:szCs w:val="20"/>
        </w:rPr>
        <w:t>Bulik</w:t>
      </w:r>
      <w:proofErr w:type="spellEnd"/>
      <w:r w:rsidRPr="00175A2F">
        <w:rPr>
          <w:rFonts w:asciiTheme="minorHAnsi" w:hAnsiTheme="minorHAnsi" w:cstheme="majorBidi"/>
          <w:sz w:val="20"/>
          <w:szCs w:val="20"/>
        </w:rPr>
        <w:t xml:space="preserve"> 2021) ou, au minimum, n'a pas suffisamment soutenu </w:t>
      </w:r>
      <w:r w:rsidRPr="00175A2F">
        <w:rPr>
          <w:rFonts w:asciiTheme="minorHAnsi" w:hAnsiTheme="minorHAnsi" w:cstheme="majorBidi"/>
          <w:sz w:val="20"/>
          <w:szCs w:val="20"/>
        </w:rPr>
        <w:lastRenderedPageBreak/>
        <w:t>le travail complexe de recherche sur les traitements des troubles de l'alimentation, en particulier l'anorexie (</w:t>
      </w:r>
      <w:proofErr w:type="spellStart"/>
      <w:r w:rsidRPr="00175A2F">
        <w:rPr>
          <w:rFonts w:asciiTheme="minorHAnsi" w:hAnsiTheme="minorHAnsi" w:cstheme="majorBidi"/>
          <w:sz w:val="20"/>
          <w:szCs w:val="20"/>
        </w:rPr>
        <w:t>Agras</w:t>
      </w:r>
      <w:proofErr w:type="spellEnd"/>
      <w:r w:rsidRPr="00175A2F">
        <w:rPr>
          <w:rFonts w:asciiTheme="minorHAnsi" w:hAnsiTheme="minorHAnsi" w:cstheme="majorBidi"/>
          <w:sz w:val="20"/>
          <w:szCs w:val="20"/>
        </w:rPr>
        <w:t xml:space="preserve"> et al. 2004, Lock et al. 2012). Malgré leur prévalence et les coûts sociaux et économiques associés, les troubles de l'alimentation reçoivent nettement moins de financements de recherche que d'autres troubles psychiatriques (Deloitte 2020). Une plus grande reconnaissance des disparités marquées dans le financement de la recherche sur ces troubles graves et coûteux est nécessaire et pourrait influencer les décisions politiques.</w:t>
      </w:r>
    </w:p>
    <w:p w14:paraId="19D3699B" w14:textId="77777777" w:rsidR="00E1208D" w:rsidRDefault="00E1208D" w:rsidP="00746B0D">
      <w:pPr>
        <w:rPr>
          <w:rFonts w:asciiTheme="minorHAnsi" w:hAnsiTheme="minorHAnsi" w:cstheme="majorBidi"/>
          <w:sz w:val="20"/>
          <w:szCs w:val="20"/>
        </w:rPr>
      </w:pPr>
    </w:p>
    <w:p w14:paraId="4035CCF2" w14:textId="243C98CB" w:rsidR="00175A2F" w:rsidRDefault="00175A2F" w:rsidP="00746B0D">
      <w:pPr>
        <w:rPr>
          <w:rFonts w:asciiTheme="majorBidi" w:hAnsiTheme="majorBidi" w:cstheme="majorBidi"/>
          <w:b/>
          <w:bCs/>
          <w:color w:val="CC0000"/>
          <w:sz w:val="24"/>
          <w:szCs w:val="24"/>
        </w:rPr>
      </w:pPr>
      <w:r w:rsidRPr="00175A2F">
        <w:rPr>
          <w:rFonts w:asciiTheme="majorBidi" w:hAnsiTheme="majorBidi" w:cstheme="majorBidi"/>
          <w:b/>
          <w:bCs/>
          <w:color w:val="CC0000"/>
          <w:sz w:val="24"/>
          <w:szCs w:val="24"/>
        </w:rPr>
        <w:t>Conclusion :</w:t>
      </w:r>
    </w:p>
    <w:p w14:paraId="5AA4FE29" w14:textId="77777777" w:rsidR="00175A2F" w:rsidRDefault="00175A2F" w:rsidP="00175A2F">
      <w:pPr>
        <w:pStyle w:val="NormalWeb"/>
        <w:rPr>
          <w:rFonts w:asciiTheme="minorHAnsi" w:hAnsiTheme="minorHAnsi"/>
          <w:sz w:val="20"/>
          <w:szCs w:val="20"/>
        </w:rPr>
      </w:pPr>
      <w:r w:rsidRPr="00175A2F">
        <w:rPr>
          <w:rFonts w:asciiTheme="minorHAnsi" w:hAnsiTheme="minorHAnsi"/>
          <w:sz w:val="20"/>
          <w:szCs w:val="20"/>
        </w:rPr>
        <w:t>Des progrès notables ont été réalisés dans le développement de traitements pour les troubles de l'alimentation, avec des approches psychologiques spécifiques recommandées pour l'anxiété, la nervosité et l'hyperphagie (Wilson et al. 2007). Toutefois, de nombreux patients, en particulier ceux souffrant d'anxiété, ne bénéficient pas suffisamment de ces traitements, soulignant ainsi le besoin urgent d'options plus efficaces. Les avancées pharmacologiques restent limitées, avec peu de médicaments disponibles et des résultats souvent insatisfaisants et non durables (</w:t>
      </w:r>
      <w:proofErr w:type="spellStart"/>
      <w:r w:rsidRPr="00175A2F">
        <w:rPr>
          <w:rFonts w:asciiTheme="minorHAnsi" w:hAnsiTheme="minorHAnsi"/>
          <w:sz w:val="20"/>
          <w:szCs w:val="20"/>
        </w:rPr>
        <w:t>Kaye</w:t>
      </w:r>
      <w:proofErr w:type="spellEnd"/>
      <w:r w:rsidRPr="00175A2F">
        <w:rPr>
          <w:rFonts w:asciiTheme="minorHAnsi" w:hAnsiTheme="minorHAnsi"/>
          <w:sz w:val="20"/>
          <w:szCs w:val="20"/>
        </w:rPr>
        <w:t xml:space="preserve"> et </w:t>
      </w:r>
      <w:proofErr w:type="spellStart"/>
      <w:r w:rsidRPr="00175A2F">
        <w:rPr>
          <w:rFonts w:asciiTheme="minorHAnsi" w:hAnsiTheme="minorHAnsi"/>
          <w:sz w:val="20"/>
          <w:szCs w:val="20"/>
        </w:rPr>
        <w:t>Bulik</w:t>
      </w:r>
      <w:proofErr w:type="spellEnd"/>
      <w:r w:rsidRPr="00175A2F">
        <w:rPr>
          <w:rFonts w:asciiTheme="minorHAnsi" w:hAnsiTheme="minorHAnsi"/>
          <w:sz w:val="20"/>
          <w:szCs w:val="20"/>
        </w:rPr>
        <w:t xml:space="preserve"> 2021).</w:t>
      </w:r>
    </w:p>
    <w:p w14:paraId="3CD6C874" w14:textId="59097A2D" w:rsidR="00D81301" w:rsidRPr="00D81301" w:rsidRDefault="00D81301" w:rsidP="00D81301">
      <w:pPr>
        <w:pStyle w:val="NormalWeb"/>
        <w:jc w:val="right"/>
        <w:rPr>
          <w:rFonts w:asciiTheme="minorHAnsi" w:hAnsiTheme="minorHAnsi"/>
          <w:b/>
          <w:bCs/>
          <w:sz w:val="20"/>
          <w:szCs w:val="20"/>
        </w:rPr>
      </w:pPr>
      <w:r w:rsidRPr="00D81301">
        <w:rPr>
          <w:rFonts w:asciiTheme="minorHAnsi" w:hAnsiTheme="minorHAnsi"/>
          <w:b/>
          <w:bCs/>
          <w:sz w:val="20"/>
          <w:szCs w:val="20"/>
        </w:rPr>
        <w:t xml:space="preserve">Dr Yassine </w:t>
      </w:r>
      <w:proofErr w:type="spellStart"/>
      <w:r w:rsidRPr="00D81301">
        <w:rPr>
          <w:rFonts w:asciiTheme="minorHAnsi" w:hAnsiTheme="minorHAnsi"/>
          <w:b/>
          <w:bCs/>
          <w:sz w:val="20"/>
          <w:szCs w:val="20"/>
        </w:rPr>
        <w:t>Nassiri</w:t>
      </w:r>
      <w:proofErr w:type="spellEnd"/>
    </w:p>
    <w:p w14:paraId="4730E604" w14:textId="6E91F6A8" w:rsidR="00D81301" w:rsidRPr="00D81301" w:rsidRDefault="00D81301" w:rsidP="00D81301">
      <w:pPr>
        <w:pStyle w:val="NormalWeb"/>
        <w:jc w:val="right"/>
        <w:rPr>
          <w:rFonts w:asciiTheme="minorHAnsi" w:hAnsiTheme="minorHAnsi"/>
          <w:b/>
          <w:bCs/>
          <w:sz w:val="20"/>
          <w:szCs w:val="20"/>
        </w:rPr>
      </w:pPr>
      <w:r w:rsidRPr="00D81301">
        <w:rPr>
          <w:rFonts w:asciiTheme="minorHAnsi" w:hAnsiTheme="minorHAnsi"/>
          <w:b/>
          <w:bCs/>
          <w:sz w:val="20"/>
          <w:szCs w:val="20"/>
        </w:rPr>
        <w:t>Centre psychiatrique universitaire</w:t>
      </w:r>
    </w:p>
    <w:p w14:paraId="3DB26760" w14:textId="4FE9C87A" w:rsidR="00D81301" w:rsidRPr="00D81301" w:rsidRDefault="00D81301" w:rsidP="00D81301">
      <w:pPr>
        <w:pStyle w:val="NormalWeb"/>
        <w:jc w:val="right"/>
        <w:rPr>
          <w:rFonts w:asciiTheme="minorHAnsi" w:hAnsiTheme="minorHAnsi"/>
          <w:b/>
          <w:bCs/>
          <w:sz w:val="20"/>
          <w:szCs w:val="20"/>
        </w:rPr>
      </w:pPr>
      <w:r w:rsidRPr="00D81301">
        <w:rPr>
          <w:rFonts w:asciiTheme="minorHAnsi" w:hAnsiTheme="minorHAnsi"/>
          <w:b/>
          <w:bCs/>
          <w:sz w:val="20"/>
          <w:szCs w:val="20"/>
        </w:rPr>
        <w:t>CHU Souss Massa</w:t>
      </w:r>
    </w:p>
    <w:p w14:paraId="2350FC52" w14:textId="0D5E18A1" w:rsidR="00D81301" w:rsidRPr="00D81301" w:rsidRDefault="00D81301" w:rsidP="00D81301">
      <w:pPr>
        <w:pStyle w:val="NormalWeb"/>
        <w:jc w:val="right"/>
        <w:rPr>
          <w:rFonts w:asciiTheme="minorHAnsi" w:hAnsiTheme="minorHAnsi"/>
          <w:b/>
          <w:bCs/>
          <w:sz w:val="20"/>
          <w:szCs w:val="20"/>
        </w:rPr>
      </w:pPr>
      <w:r w:rsidRPr="00D81301">
        <w:rPr>
          <w:rFonts w:asciiTheme="minorHAnsi" w:hAnsiTheme="minorHAnsi"/>
          <w:b/>
          <w:bCs/>
          <w:sz w:val="20"/>
          <w:szCs w:val="20"/>
        </w:rPr>
        <w:t>Octobre 2024</w:t>
      </w:r>
    </w:p>
    <w:p w14:paraId="0C1C5B85" w14:textId="77777777" w:rsidR="00175A2F" w:rsidRPr="00175A2F" w:rsidRDefault="00175A2F" w:rsidP="00746B0D">
      <w:pPr>
        <w:rPr>
          <w:rFonts w:asciiTheme="majorBidi" w:hAnsiTheme="majorBidi" w:cstheme="majorBidi"/>
          <w:b/>
          <w:bCs/>
          <w:color w:val="CC0000"/>
          <w:sz w:val="24"/>
          <w:szCs w:val="24"/>
        </w:rPr>
      </w:pPr>
    </w:p>
    <w:sectPr w:rsidR="00175A2F" w:rsidRPr="00175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E11"/>
    <w:multiLevelType w:val="multilevel"/>
    <w:tmpl w:val="B5D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30"/>
    <w:rsid w:val="000B20C7"/>
    <w:rsid w:val="00175A2F"/>
    <w:rsid w:val="00184347"/>
    <w:rsid w:val="001938D4"/>
    <w:rsid w:val="002024B9"/>
    <w:rsid w:val="0024441D"/>
    <w:rsid w:val="0024484F"/>
    <w:rsid w:val="00283952"/>
    <w:rsid w:val="002E046B"/>
    <w:rsid w:val="00456CA0"/>
    <w:rsid w:val="004A04C8"/>
    <w:rsid w:val="00570950"/>
    <w:rsid w:val="006615CE"/>
    <w:rsid w:val="006A1830"/>
    <w:rsid w:val="0070090B"/>
    <w:rsid w:val="00735F86"/>
    <w:rsid w:val="00746B0D"/>
    <w:rsid w:val="007833C9"/>
    <w:rsid w:val="007D540D"/>
    <w:rsid w:val="008F0B9A"/>
    <w:rsid w:val="009F07A6"/>
    <w:rsid w:val="00AF66AE"/>
    <w:rsid w:val="00B02402"/>
    <w:rsid w:val="00BF3D9A"/>
    <w:rsid w:val="00C7274E"/>
    <w:rsid w:val="00D66ADE"/>
    <w:rsid w:val="00D81301"/>
    <w:rsid w:val="00E1208D"/>
    <w:rsid w:val="00E229FA"/>
    <w:rsid w:val="00EB11CC"/>
    <w:rsid w:val="00F73789"/>
    <w:rsid w:val="00FE01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30"/>
    <w:pPr>
      <w:spacing w:after="0" w:line="240" w:lineRule="auto"/>
    </w:pPr>
    <w:rPr>
      <w:rFonts w:ascii="Times New Roman" w:eastAsiaTheme="minorEastAsia" w:hAnsi="Times New Roman" w:cs="Times New Roman"/>
      <w:kern w:val="0"/>
      <w:sz w:val="22"/>
      <w:szCs w:val="22"/>
      <w:lang w:eastAsia="fr-FR"/>
      <w14:ligatures w14:val="none"/>
    </w:rPr>
  </w:style>
  <w:style w:type="paragraph" w:styleId="Heading1">
    <w:name w:val="heading 1"/>
    <w:basedOn w:val="Normal"/>
    <w:next w:val="Normal"/>
    <w:link w:val="Heading1Char"/>
    <w:uiPriority w:val="9"/>
    <w:qFormat/>
    <w:rsid w:val="006A1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830"/>
    <w:rPr>
      <w:rFonts w:eastAsiaTheme="majorEastAsia" w:cstheme="majorBidi"/>
      <w:color w:val="272727" w:themeColor="text1" w:themeTint="D8"/>
    </w:rPr>
  </w:style>
  <w:style w:type="paragraph" w:styleId="Title">
    <w:name w:val="Title"/>
    <w:basedOn w:val="Normal"/>
    <w:next w:val="Normal"/>
    <w:link w:val="TitleChar"/>
    <w:uiPriority w:val="10"/>
    <w:qFormat/>
    <w:rsid w:val="006A1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830"/>
    <w:pPr>
      <w:spacing w:before="160"/>
      <w:jc w:val="center"/>
    </w:pPr>
    <w:rPr>
      <w:i/>
      <w:iCs/>
      <w:color w:val="404040" w:themeColor="text1" w:themeTint="BF"/>
    </w:rPr>
  </w:style>
  <w:style w:type="character" w:customStyle="1" w:styleId="QuoteChar">
    <w:name w:val="Quote Char"/>
    <w:basedOn w:val="DefaultParagraphFont"/>
    <w:link w:val="Quote"/>
    <w:uiPriority w:val="29"/>
    <w:rsid w:val="006A1830"/>
    <w:rPr>
      <w:i/>
      <w:iCs/>
      <w:color w:val="404040" w:themeColor="text1" w:themeTint="BF"/>
    </w:rPr>
  </w:style>
  <w:style w:type="paragraph" w:styleId="ListParagraph">
    <w:name w:val="List Paragraph"/>
    <w:basedOn w:val="Normal"/>
    <w:uiPriority w:val="34"/>
    <w:qFormat/>
    <w:rsid w:val="006A1830"/>
    <w:pPr>
      <w:ind w:left="720"/>
      <w:contextualSpacing/>
    </w:pPr>
  </w:style>
  <w:style w:type="character" w:styleId="IntenseEmphasis">
    <w:name w:val="Intense Emphasis"/>
    <w:basedOn w:val="DefaultParagraphFont"/>
    <w:uiPriority w:val="21"/>
    <w:qFormat/>
    <w:rsid w:val="006A1830"/>
    <w:rPr>
      <w:i/>
      <w:iCs/>
      <w:color w:val="0F4761" w:themeColor="accent1" w:themeShade="BF"/>
    </w:rPr>
  </w:style>
  <w:style w:type="paragraph" w:styleId="IntenseQuote">
    <w:name w:val="Intense Quote"/>
    <w:basedOn w:val="Normal"/>
    <w:next w:val="Normal"/>
    <w:link w:val="IntenseQuoteChar"/>
    <w:uiPriority w:val="30"/>
    <w:qFormat/>
    <w:rsid w:val="006A1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830"/>
    <w:rPr>
      <w:i/>
      <w:iCs/>
      <w:color w:val="0F4761" w:themeColor="accent1" w:themeShade="BF"/>
    </w:rPr>
  </w:style>
  <w:style w:type="character" w:styleId="IntenseReference">
    <w:name w:val="Intense Reference"/>
    <w:basedOn w:val="DefaultParagraphFont"/>
    <w:uiPriority w:val="32"/>
    <w:qFormat/>
    <w:rsid w:val="006A1830"/>
    <w:rPr>
      <w:b/>
      <w:bCs/>
      <w:smallCaps/>
      <w:color w:val="0F4761" w:themeColor="accent1" w:themeShade="BF"/>
      <w:spacing w:val="5"/>
    </w:rPr>
  </w:style>
  <w:style w:type="paragraph" w:styleId="NormalWeb">
    <w:name w:val="Normal (Web)"/>
    <w:basedOn w:val="Normal"/>
    <w:uiPriority w:val="99"/>
    <w:unhideWhenUsed/>
    <w:rsid w:val="004A04C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30"/>
    <w:pPr>
      <w:spacing w:after="0" w:line="240" w:lineRule="auto"/>
    </w:pPr>
    <w:rPr>
      <w:rFonts w:ascii="Times New Roman" w:eastAsiaTheme="minorEastAsia" w:hAnsi="Times New Roman" w:cs="Times New Roman"/>
      <w:kern w:val="0"/>
      <w:sz w:val="22"/>
      <w:szCs w:val="22"/>
      <w:lang w:eastAsia="fr-FR"/>
      <w14:ligatures w14:val="none"/>
    </w:rPr>
  </w:style>
  <w:style w:type="paragraph" w:styleId="Heading1">
    <w:name w:val="heading 1"/>
    <w:basedOn w:val="Normal"/>
    <w:next w:val="Normal"/>
    <w:link w:val="Heading1Char"/>
    <w:uiPriority w:val="9"/>
    <w:qFormat/>
    <w:rsid w:val="006A1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830"/>
    <w:rPr>
      <w:rFonts w:eastAsiaTheme="majorEastAsia" w:cstheme="majorBidi"/>
      <w:color w:val="272727" w:themeColor="text1" w:themeTint="D8"/>
    </w:rPr>
  </w:style>
  <w:style w:type="paragraph" w:styleId="Title">
    <w:name w:val="Title"/>
    <w:basedOn w:val="Normal"/>
    <w:next w:val="Normal"/>
    <w:link w:val="TitleChar"/>
    <w:uiPriority w:val="10"/>
    <w:qFormat/>
    <w:rsid w:val="006A1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830"/>
    <w:pPr>
      <w:spacing w:before="160"/>
      <w:jc w:val="center"/>
    </w:pPr>
    <w:rPr>
      <w:i/>
      <w:iCs/>
      <w:color w:val="404040" w:themeColor="text1" w:themeTint="BF"/>
    </w:rPr>
  </w:style>
  <w:style w:type="character" w:customStyle="1" w:styleId="QuoteChar">
    <w:name w:val="Quote Char"/>
    <w:basedOn w:val="DefaultParagraphFont"/>
    <w:link w:val="Quote"/>
    <w:uiPriority w:val="29"/>
    <w:rsid w:val="006A1830"/>
    <w:rPr>
      <w:i/>
      <w:iCs/>
      <w:color w:val="404040" w:themeColor="text1" w:themeTint="BF"/>
    </w:rPr>
  </w:style>
  <w:style w:type="paragraph" w:styleId="ListParagraph">
    <w:name w:val="List Paragraph"/>
    <w:basedOn w:val="Normal"/>
    <w:uiPriority w:val="34"/>
    <w:qFormat/>
    <w:rsid w:val="006A1830"/>
    <w:pPr>
      <w:ind w:left="720"/>
      <w:contextualSpacing/>
    </w:pPr>
  </w:style>
  <w:style w:type="character" w:styleId="IntenseEmphasis">
    <w:name w:val="Intense Emphasis"/>
    <w:basedOn w:val="DefaultParagraphFont"/>
    <w:uiPriority w:val="21"/>
    <w:qFormat/>
    <w:rsid w:val="006A1830"/>
    <w:rPr>
      <w:i/>
      <w:iCs/>
      <w:color w:val="0F4761" w:themeColor="accent1" w:themeShade="BF"/>
    </w:rPr>
  </w:style>
  <w:style w:type="paragraph" w:styleId="IntenseQuote">
    <w:name w:val="Intense Quote"/>
    <w:basedOn w:val="Normal"/>
    <w:next w:val="Normal"/>
    <w:link w:val="IntenseQuoteChar"/>
    <w:uiPriority w:val="30"/>
    <w:qFormat/>
    <w:rsid w:val="006A1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830"/>
    <w:rPr>
      <w:i/>
      <w:iCs/>
      <w:color w:val="0F4761" w:themeColor="accent1" w:themeShade="BF"/>
    </w:rPr>
  </w:style>
  <w:style w:type="character" w:styleId="IntenseReference">
    <w:name w:val="Intense Reference"/>
    <w:basedOn w:val="DefaultParagraphFont"/>
    <w:uiPriority w:val="32"/>
    <w:qFormat/>
    <w:rsid w:val="006A1830"/>
    <w:rPr>
      <w:b/>
      <w:bCs/>
      <w:smallCaps/>
      <w:color w:val="0F4761" w:themeColor="accent1" w:themeShade="BF"/>
      <w:spacing w:val="5"/>
    </w:rPr>
  </w:style>
  <w:style w:type="paragraph" w:styleId="NormalWeb">
    <w:name w:val="Normal (Web)"/>
    <w:basedOn w:val="Normal"/>
    <w:uiPriority w:val="99"/>
    <w:unhideWhenUsed/>
    <w:rsid w:val="004A04C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1734">
      <w:bodyDiv w:val="1"/>
      <w:marLeft w:val="0"/>
      <w:marRight w:val="0"/>
      <w:marTop w:val="0"/>
      <w:marBottom w:val="0"/>
      <w:divBdr>
        <w:top w:val="none" w:sz="0" w:space="0" w:color="auto"/>
        <w:left w:val="none" w:sz="0" w:space="0" w:color="auto"/>
        <w:bottom w:val="none" w:sz="0" w:space="0" w:color="auto"/>
        <w:right w:val="none" w:sz="0" w:space="0" w:color="auto"/>
      </w:divBdr>
    </w:div>
    <w:div w:id="133108562">
      <w:bodyDiv w:val="1"/>
      <w:marLeft w:val="0"/>
      <w:marRight w:val="0"/>
      <w:marTop w:val="0"/>
      <w:marBottom w:val="0"/>
      <w:divBdr>
        <w:top w:val="none" w:sz="0" w:space="0" w:color="auto"/>
        <w:left w:val="none" w:sz="0" w:space="0" w:color="auto"/>
        <w:bottom w:val="none" w:sz="0" w:space="0" w:color="auto"/>
        <w:right w:val="none" w:sz="0" w:space="0" w:color="auto"/>
      </w:divBdr>
    </w:div>
    <w:div w:id="136339872">
      <w:bodyDiv w:val="1"/>
      <w:marLeft w:val="0"/>
      <w:marRight w:val="0"/>
      <w:marTop w:val="0"/>
      <w:marBottom w:val="0"/>
      <w:divBdr>
        <w:top w:val="none" w:sz="0" w:space="0" w:color="auto"/>
        <w:left w:val="none" w:sz="0" w:space="0" w:color="auto"/>
        <w:bottom w:val="none" w:sz="0" w:space="0" w:color="auto"/>
        <w:right w:val="none" w:sz="0" w:space="0" w:color="auto"/>
      </w:divBdr>
    </w:div>
    <w:div w:id="186335979">
      <w:bodyDiv w:val="1"/>
      <w:marLeft w:val="0"/>
      <w:marRight w:val="0"/>
      <w:marTop w:val="0"/>
      <w:marBottom w:val="0"/>
      <w:divBdr>
        <w:top w:val="none" w:sz="0" w:space="0" w:color="auto"/>
        <w:left w:val="none" w:sz="0" w:space="0" w:color="auto"/>
        <w:bottom w:val="none" w:sz="0" w:space="0" w:color="auto"/>
        <w:right w:val="none" w:sz="0" w:space="0" w:color="auto"/>
      </w:divBdr>
    </w:div>
    <w:div w:id="279842788">
      <w:bodyDiv w:val="1"/>
      <w:marLeft w:val="0"/>
      <w:marRight w:val="0"/>
      <w:marTop w:val="0"/>
      <w:marBottom w:val="0"/>
      <w:divBdr>
        <w:top w:val="none" w:sz="0" w:space="0" w:color="auto"/>
        <w:left w:val="none" w:sz="0" w:space="0" w:color="auto"/>
        <w:bottom w:val="none" w:sz="0" w:space="0" w:color="auto"/>
        <w:right w:val="none" w:sz="0" w:space="0" w:color="auto"/>
      </w:divBdr>
    </w:div>
    <w:div w:id="284391845">
      <w:bodyDiv w:val="1"/>
      <w:marLeft w:val="0"/>
      <w:marRight w:val="0"/>
      <w:marTop w:val="0"/>
      <w:marBottom w:val="0"/>
      <w:divBdr>
        <w:top w:val="none" w:sz="0" w:space="0" w:color="auto"/>
        <w:left w:val="none" w:sz="0" w:space="0" w:color="auto"/>
        <w:bottom w:val="none" w:sz="0" w:space="0" w:color="auto"/>
        <w:right w:val="none" w:sz="0" w:space="0" w:color="auto"/>
      </w:divBdr>
    </w:div>
    <w:div w:id="304167587">
      <w:bodyDiv w:val="1"/>
      <w:marLeft w:val="0"/>
      <w:marRight w:val="0"/>
      <w:marTop w:val="0"/>
      <w:marBottom w:val="0"/>
      <w:divBdr>
        <w:top w:val="none" w:sz="0" w:space="0" w:color="auto"/>
        <w:left w:val="none" w:sz="0" w:space="0" w:color="auto"/>
        <w:bottom w:val="none" w:sz="0" w:space="0" w:color="auto"/>
        <w:right w:val="none" w:sz="0" w:space="0" w:color="auto"/>
      </w:divBdr>
    </w:div>
    <w:div w:id="305015625">
      <w:bodyDiv w:val="1"/>
      <w:marLeft w:val="0"/>
      <w:marRight w:val="0"/>
      <w:marTop w:val="0"/>
      <w:marBottom w:val="0"/>
      <w:divBdr>
        <w:top w:val="none" w:sz="0" w:space="0" w:color="auto"/>
        <w:left w:val="none" w:sz="0" w:space="0" w:color="auto"/>
        <w:bottom w:val="none" w:sz="0" w:space="0" w:color="auto"/>
        <w:right w:val="none" w:sz="0" w:space="0" w:color="auto"/>
      </w:divBdr>
    </w:div>
    <w:div w:id="320084517">
      <w:bodyDiv w:val="1"/>
      <w:marLeft w:val="0"/>
      <w:marRight w:val="0"/>
      <w:marTop w:val="0"/>
      <w:marBottom w:val="0"/>
      <w:divBdr>
        <w:top w:val="none" w:sz="0" w:space="0" w:color="auto"/>
        <w:left w:val="none" w:sz="0" w:space="0" w:color="auto"/>
        <w:bottom w:val="none" w:sz="0" w:space="0" w:color="auto"/>
        <w:right w:val="none" w:sz="0" w:space="0" w:color="auto"/>
      </w:divBdr>
    </w:div>
    <w:div w:id="418020707">
      <w:bodyDiv w:val="1"/>
      <w:marLeft w:val="0"/>
      <w:marRight w:val="0"/>
      <w:marTop w:val="0"/>
      <w:marBottom w:val="0"/>
      <w:divBdr>
        <w:top w:val="none" w:sz="0" w:space="0" w:color="auto"/>
        <w:left w:val="none" w:sz="0" w:space="0" w:color="auto"/>
        <w:bottom w:val="none" w:sz="0" w:space="0" w:color="auto"/>
        <w:right w:val="none" w:sz="0" w:space="0" w:color="auto"/>
      </w:divBdr>
    </w:div>
    <w:div w:id="466514852">
      <w:bodyDiv w:val="1"/>
      <w:marLeft w:val="0"/>
      <w:marRight w:val="0"/>
      <w:marTop w:val="0"/>
      <w:marBottom w:val="0"/>
      <w:divBdr>
        <w:top w:val="none" w:sz="0" w:space="0" w:color="auto"/>
        <w:left w:val="none" w:sz="0" w:space="0" w:color="auto"/>
        <w:bottom w:val="none" w:sz="0" w:space="0" w:color="auto"/>
        <w:right w:val="none" w:sz="0" w:space="0" w:color="auto"/>
      </w:divBdr>
    </w:div>
    <w:div w:id="547839546">
      <w:bodyDiv w:val="1"/>
      <w:marLeft w:val="0"/>
      <w:marRight w:val="0"/>
      <w:marTop w:val="0"/>
      <w:marBottom w:val="0"/>
      <w:divBdr>
        <w:top w:val="none" w:sz="0" w:space="0" w:color="auto"/>
        <w:left w:val="none" w:sz="0" w:space="0" w:color="auto"/>
        <w:bottom w:val="none" w:sz="0" w:space="0" w:color="auto"/>
        <w:right w:val="none" w:sz="0" w:space="0" w:color="auto"/>
      </w:divBdr>
    </w:div>
    <w:div w:id="644702764">
      <w:bodyDiv w:val="1"/>
      <w:marLeft w:val="0"/>
      <w:marRight w:val="0"/>
      <w:marTop w:val="0"/>
      <w:marBottom w:val="0"/>
      <w:divBdr>
        <w:top w:val="none" w:sz="0" w:space="0" w:color="auto"/>
        <w:left w:val="none" w:sz="0" w:space="0" w:color="auto"/>
        <w:bottom w:val="none" w:sz="0" w:space="0" w:color="auto"/>
        <w:right w:val="none" w:sz="0" w:space="0" w:color="auto"/>
      </w:divBdr>
    </w:div>
    <w:div w:id="646398183">
      <w:bodyDiv w:val="1"/>
      <w:marLeft w:val="0"/>
      <w:marRight w:val="0"/>
      <w:marTop w:val="0"/>
      <w:marBottom w:val="0"/>
      <w:divBdr>
        <w:top w:val="none" w:sz="0" w:space="0" w:color="auto"/>
        <w:left w:val="none" w:sz="0" w:space="0" w:color="auto"/>
        <w:bottom w:val="none" w:sz="0" w:space="0" w:color="auto"/>
        <w:right w:val="none" w:sz="0" w:space="0" w:color="auto"/>
      </w:divBdr>
    </w:div>
    <w:div w:id="736364336">
      <w:bodyDiv w:val="1"/>
      <w:marLeft w:val="0"/>
      <w:marRight w:val="0"/>
      <w:marTop w:val="0"/>
      <w:marBottom w:val="0"/>
      <w:divBdr>
        <w:top w:val="none" w:sz="0" w:space="0" w:color="auto"/>
        <w:left w:val="none" w:sz="0" w:space="0" w:color="auto"/>
        <w:bottom w:val="none" w:sz="0" w:space="0" w:color="auto"/>
        <w:right w:val="none" w:sz="0" w:space="0" w:color="auto"/>
      </w:divBdr>
    </w:div>
    <w:div w:id="756025462">
      <w:bodyDiv w:val="1"/>
      <w:marLeft w:val="0"/>
      <w:marRight w:val="0"/>
      <w:marTop w:val="0"/>
      <w:marBottom w:val="0"/>
      <w:divBdr>
        <w:top w:val="none" w:sz="0" w:space="0" w:color="auto"/>
        <w:left w:val="none" w:sz="0" w:space="0" w:color="auto"/>
        <w:bottom w:val="none" w:sz="0" w:space="0" w:color="auto"/>
        <w:right w:val="none" w:sz="0" w:space="0" w:color="auto"/>
      </w:divBdr>
    </w:div>
    <w:div w:id="769544506">
      <w:bodyDiv w:val="1"/>
      <w:marLeft w:val="0"/>
      <w:marRight w:val="0"/>
      <w:marTop w:val="0"/>
      <w:marBottom w:val="0"/>
      <w:divBdr>
        <w:top w:val="none" w:sz="0" w:space="0" w:color="auto"/>
        <w:left w:val="none" w:sz="0" w:space="0" w:color="auto"/>
        <w:bottom w:val="none" w:sz="0" w:space="0" w:color="auto"/>
        <w:right w:val="none" w:sz="0" w:space="0" w:color="auto"/>
      </w:divBdr>
    </w:div>
    <w:div w:id="789278737">
      <w:bodyDiv w:val="1"/>
      <w:marLeft w:val="0"/>
      <w:marRight w:val="0"/>
      <w:marTop w:val="0"/>
      <w:marBottom w:val="0"/>
      <w:divBdr>
        <w:top w:val="none" w:sz="0" w:space="0" w:color="auto"/>
        <w:left w:val="none" w:sz="0" w:space="0" w:color="auto"/>
        <w:bottom w:val="none" w:sz="0" w:space="0" w:color="auto"/>
        <w:right w:val="none" w:sz="0" w:space="0" w:color="auto"/>
      </w:divBdr>
    </w:div>
    <w:div w:id="824316585">
      <w:bodyDiv w:val="1"/>
      <w:marLeft w:val="0"/>
      <w:marRight w:val="0"/>
      <w:marTop w:val="0"/>
      <w:marBottom w:val="0"/>
      <w:divBdr>
        <w:top w:val="none" w:sz="0" w:space="0" w:color="auto"/>
        <w:left w:val="none" w:sz="0" w:space="0" w:color="auto"/>
        <w:bottom w:val="none" w:sz="0" w:space="0" w:color="auto"/>
        <w:right w:val="none" w:sz="0" w:space="0" w:color="auto"/>
      </w:divBdr>
    </w:div>
    <w:div w:id="957100850">
      <w:bodyDiv w:val="1"/>
      <w:marLeft w:val="0"/>
      <w:marRight w:val="0"/>
      <w:marTop w:val="0"/>
      <w:marBottom w:val="0"/>
      <w:divBdr>
        <w:top w:val="none" w:sz="0" w:space="0" w:color="auto"/>
        <w:left w:val="none" w:sz="0" w:space="0" w:color="auto"/>
        <w:bottom w:val="none" w:sz="0" w:space="0" w:color="auto"/>
        <w:right w:val="none" w:sz="0" w:space="0" w:color="auto"/>
      </w:divBdr>
    </w:div>
    <w:div w:id="1011646289">
      <w:bodyDiv w:val="1"/>
      <w:marLeft w:val="0"/>
      <w:marRight w:val="0"/>
      <w:marTop w:val="0"/>
      <w:marBottom w:val="0"/>
      <w:divBdr>
        <w:top w:val="none" w:sz="0" w:space="0" w:color="auto"/>
        <w:left w:val="none" w:sz="0" w:space="0" w:color="auto"/>
        <w:bottom w:val="none" w:sz="0" w:space="0" w:color="auto"/>
        <w:right w:val="none" w:sz="0" w:space="0" w:color="auto"/>
      </w:divBdr>
    </w:div>
    <w:div w:id="1045637710">
      <w:bodyDiv w:val="1"/>
      <w:marLeft w:val="0"/>
      <w:marRight w:val="0"/>
      <w:marTop w:val="0"/>
      <w:marBottom w:val="0"/>
      <w:divBdr>
        <w:top w:val="none" w:sz="0" w:space="0" w:color="auto"/>
        <w:left w:val="none" w:sz="0" w:space="0" w:color="auto"/>
        <w:bottom w:val="none" w:sz="0" w:space="0" w:color="auto"/>
        <w:right w:val="none" w:sz="0" w:space="0" w:color="auto"/>
      </w:divBdr>
    </w:div>
    <w:div w:id="1062145274">
      <w:bodyDiv w:val="1"/>
      <w:marLeft w:val="0"/>
      <w:marRight w:val="0"/>
      <w:marTop w:val="0"/>
      <w:marBottom w:val="0"/>
      <w:divBdr>
        <w:top w:val="none" w:sz="0" w:space="0" w:color="auto"/>
        <w:left w:val="none" w:sz="0" w:space="0" w:color="auto"/>
        <w:bottom w:val="none" w:sz="0" w:space="0" w:color="auto"/>
        <w:right w:val="none" w:sz="0" w:space="0" w:color="auto"/>
      </w:divBdr>
    </w:div>
    <w:div w:id="1171990232">
      <w:bodyDiv w:val="1"/>
      <w:marLeft w:val="0"/>
      <w:marRight w:val="0"/>
      <w:marTop w:val="0"/>
      <w:marBottom w:val="0"/>
      <w:divBdr>
        <w:top w:val="none" w:sz="0" w:space="0" w:color="auto"/>
        <w:left w:val="none" w:sz="0" w:space="0" w:color="auto"/>
        <w:bottom w:val="none" w:sz="0" w:space="0" w:color="auto"/>
        <w:right w:val="none" w:sz="0" w:space="0" w:color="auto"/>
      </w:divBdr>
    </w:div>
    <w:div w:id="1209151613">
      <w:bodyDiv w:val="1"/>
      <w:marLeft w:val="0"/>
      <w:marRight w:val="0"/>
      <w:marTop w:val="0"/>
      <w:marBottom w:val="0"/>
      <w:divBdr>
        <w:top w:val="none" w:sz="0" w:space="0" w:color="auto"/>
        <w:left w:val="none" w:sz="0" w:space="0" w:color="auto"/>
        <w:bottom w:val="none" w:sz="0" w:space="0" w:color="auto"/>
        <w:right w:val="none" w:sz="0" w:space="0" w:color="auto"/>
      </w:divBdr>
    </w:div>
    <w:div w:id="1229879156">
      <w:bodyDiv w:val="1"/>
      <w:marLeft w:val="0"/>
      <w:marRight w:val="0"/>
      <w:marTop w:val="0"/>
      <w:marBottom w:val="0"/>
      <w:divBdr>
        <w:top w:val="none" w:sz="0" w:space="0" w:color="auto"/>
        <w:left w:val="none" w:sz="0" w:space="0" w:color="auto"/>
        <w:bottom w:val="none" w:sz="0" w:space="0" w:color="auto"/>
        <w:right w:val="none" w:sz="0" w:space="0" w:color="auto"/>
      </w:divBdr>
    </w:div>
    <w:div w:id="1232235621">
      <w:bodyDiv w:val="1"/>
      <w:marLeft w:val="0"/>
      <w:marRight w:val="0"/>
      <w:marTop w:val="0"/>
      <w:marBottom w:val="0"/>
      <w:divBdr>
        <w:top w:val="none" w:sz="0" w:space="0" w:color="auto"/>
        <w:left w:val="none" w:sz="0" w:space="0" w:color="auto"/>
        <w:bottom w:val="none" w:sz="0" w:space="0" w:color="auto"/>
        <w:right w:val="none" w:sz="0" w:space="0" w:color="auto"/>
      </w:divBdr>
    </w:div>
    <w:div w:id="1267273923">
      <w:bodyDiv w:val="1"/>
      <w:marLeft w:val="0"/>
      <w:marRight w:val="0"/>
      <w:marTop w:val="0"/>
      <w:marBottom w:val="0"/>
      <w:divBdr>
        <w:top w:val="none" w:sz="0" w:space="0" w:color="auto"/>
        <w:left w:val="none" w:sz="0" w:space="0" w:color="auto"/>
        <w:bottom w:val="none" w:sz="0" w:space="0" w:color="auto"/>
        <w:right w:val="none" w:sz="0" w:space="0" w:color="auto"/>
      </w:divBdr>
    </w:div>
    <w:div w:id="1316295698">
      <w:bodyDiv w:val="1"/>
      <w:marLeft w:val="0"/>
      <w:marRight w:val="0"/>
      <w:marTop w:val="0"/>
      <w:marBottom w:val="0"/>
      <w:divBdr>
        <w:top w:val="none" w:sz="0" w:space="0" w:color="auto"/>
        <w:left w:val="none" w:sz="0" w:space="0" w:color="auto"/>
        <w:bottom w:val="none" w:sz="0" w:space="0" w:color="auto"/>
        <w:right w:val="none" w:sz="0" w:space="0" w:color="auto"/>
      </w:divBdr>
    </w:div>
    <w:div w:id="1338116936">
      <w:bodyDiv w:val="1"/>
      <w:marLeft w:val="0"/>
      <w:marRight w:val="0"/>
      <w:marTop w:val="0"/>
      <w:marBottom w:val="0"/>
      <w:divBdr>
        <w:top w:val="none" w:sz="0" w:space="0" w:color="auto"/>
        <w:left w:val="none" w:sz="0" w:space="0" w:color="auto"/>
        <w:bottom w:val="none" w:sz="0" w:space="0" w:color="auto"/>
        <w:right w:val="none" w:sz="0" w:space="0" w:color="auto"/>
      </w:divBdr>
    </w:div>
    <w:div w:id="1348865543">
      <w:bodyDiv w:val="1"/>
      <w:marLeft w:val="0"/>
      <w:marRight w:val="0"/>
      <w:marTop w:val="0"/>
      <w:marBottom w:val="0"/>
      <w:divBdr>
        <w:top w:val="none" w:sz="0" w:space="0" w:color="auto"/>
        <w:left w:val="none" w:sz="0" w:space="0" w:color="auto"/>
        <w:bottom w:val="none" w:sz="0" w:space="0" w:color="auto"/>
        <w:right w:val="none" w:sz="0" w:space="0" w:color="auto"/>
      </w:divBdr>
    </w:div>
    <w:div w:id="1441876704">
      <w:bodyDiv w:val="1"/>
      <w:marLeft w:val="0"/>
      <w:marRight w:val="0"/>
      <w:marTop w:val="0"/>
      <w:marBottom w:val="0"/>
      <w:divBdr>
        <w:top w:val="none" w:sz="0" w:space="0" w:color="auto"/>
        <w:left w:val="none" w:sz="0" w:space="0" w:color="auto"/>
        <w:bottom w:val="none" w:sz="0" w:space="0" w:color="auto"/>
        <w:right w:val="none" w:sz="0" w:space="0" w:color="auto"/>
      </w:divBdr>
    </w:div>
    <w:div w:id="1443962714">
      <w:bodyDiv w:val="1"/>
      <w:marLeft w:val="0"/>
      <w:marRight w:val="0"/>
      <w:marTop w:val="0"/>
      <w:marBottom w:val="0"/>
      <w:divBdr>
        <w:top w:val="none" w:sz="0" w:space="0" w:color="auto"/>
        <w:left w:val="none" w:sz="0" w:space="0" w:color="auto"/>
        <w:bottom w:val="none" w:sz="0" w:space="0" w:color="auto"/>
        <w:right w:val="none" w:sz="0" w:space="0" w:color="auto"/>
      </w:divBdr>
    </w:div>
    <w:div w:id="1445659336">
      <w:bodyDiv w:val="1"/>
      <w:marLeft w:val="0"/>
      <w:marRight w:val="0"/>
      <w:marTop w:val="0"/>
      <w:marBottom w:val="0"/>
      <w:divBdr>
        <w:top w:val="none" w:sz="0" w:space="0" w:color="auto"/>
        <w:left w:val="none" w:sz="0" w:space="0" w:color="auto"/>
        <w:bottom w:val="none" w:sz="0" w:space="0" w:color="auto"/>
        <w:right w:val="none" w:sz="0" w:space="0" w:color="auto"/>
      </w:divBdr>
    </w:div>
    <w:div w:id="1476411359">
      <w:bodyDiv w:val="1"/>
      <w:marLeft w:val="0"/>
      <w:marRight w:val="0"/>
      <w:marTop w:val="0"/>
      <w:marBottom w:val="0"/>
      <w:divBdr>
        <w:top w:val="none" w:sz="0" w:space="0" w:color="auto"/>
        <w:left w:val="none" w:sz="0" w:space="0" w:color="auto"/>
        <w:bottom w:val="none" w:sz="0" w:space="0" w:color="auto"/>
        <w:right w:val="none" w:sz="0" w:space="0" w:color="auto"/>
      </w:divBdr>
    </w:div>
    <w:div w:id="1519999272">
      <w:bodyDiv w:val="1"/>
      <w:marLeft w:val="0"/>
      <w:marRight w:val="0"/>
      <w:marTop w:val="0"/>
      <w:marBottom w:val="0"/>
      <w:divBdr>
        <w:top w:val="none" w:sz="0" w:space="0" w:color="auto"/>
        <w:left w:val="none" w:sz="0" w:space="0" w:color="auto"/>
        <w:bottom w:val="none" w:sz="0" w:space="0" w:color="auto"/>
        <w:right w:val="none" w:sz="0" w:space="0" w:color="auto"/>
      </w:divBdr>
    </w:div>
    <w:div w:id="1527911759">
      <w:bodyDiv w:val="1"/>
      <w:marLeft w:val="0"/>
      <w:marRight w:val="0"/>
      <w:marTop w:val="0"/>
      <w:marBottom w:val="0"/>
      <w:divBdr>
        <w:top w:val="none" w:sz="0" w:space="0" w:color="auto"/>
        <w:left w:val="none" w:sz="0" w:space="0" w:color="auto"/>
        <w:bottom w:val="none" w:sz="0" w:space="0" w:color="auto"/>
        <w:right w:val="none" w:sz="0" w:space="0" w:color="auto"/>
      </w:divBdr>
    </w:div>
    <w:div w:id="1562861706">
      <w:bodyDiv w:val="1"/>
      <w:marLeft w:val="0"/>
      <w:marRight w:val="0"/>
      <w:marTop w:val="0"/>
      <w:marBottom w:val="0"/>
      <w:divBdr>
        <w:top w:val="none" w:sz="0" w:space="0" w:color="auto"/>
        <w:left w:val="none" w:sz="0" w:space="0" w:color="auto"/>
        <w:bottom w:val="none" w:sz="0" w:space="0" w:color="auto"/>
        <w:right w:val="none" w:sz="0" w:space="0" w:color="auto"/>
      </w:divBdr>
    </w:div>
    <w:div w:id="1613515108">
      <w:bodyDiv w:val="1"/>
      <w:marLeft w:val="0"/>
      <w:marRight w:val="0"/>
      <w:marTop w:val="0"/>
      <w:marBottom w:val="0"/>
      <w:divBdr>
        <w:top w:val="none" w:sz="0" w:space="0" w:color="auto"/>
        <w:left w:val="none" w:sz="0" w:space="0" w:color="auto"/>
        <w:bottom w:val="none" w:sz="0" w:space="0" w:color="auto"/>
        <w:right w:val="none" w:sz="0" w:space="0" w:color="auto"/>
      </w:divBdr>
    </w:div>
    <w:div w:id="1642344320">
      <w:bodyDiv w:val="1"/>
      <w:marLeft w:val="0"/>
      <w:marRight w:val="0"/>
      <w:marTop w:val="0"/>
      <w:marBottom w:val="0"/>
      <w:divBdr>
        <w:top w:val="none" w:sz="0" w:space="0" w:color="auto"/>
        <w:left w:val="none" w:sz="0" w:space="0" w:color="auto"/>
        <w:bottom w:val="none" w:sz="0" w:space="0" w:color="auto"/>
        <w:right w:val="none" w:sz="0" w:space="0" w:color="auto"/>
      </w:divBdr>
    </w:div>
    <w:div w:id="1682273274">
      <w:bodyDiv w:val="1"/>
      <w:marLeft w:val="0"/>
      <w:marRight w:val="0"/>
      <w:marTop w:val="0"/>
      <w:marBottom w:val="0"/>
      <w:divBdr>
        <w:top w:val="none" w:sz="0" w:space="0" w:color="auto"/>
        <w:left w:val="none" w:sz="0" w:space="0" w:color="auto"/>
        <w:bottom w:val="none" w:sz="0" w:space="0" w:color="auto"/>
        <w:right w:val="none" w:sz="0" w:space="0" w:color="auto"/>
      </w:divBdr>
    </w:div>
    <w:div w:id="1692105224">
      <w:bodyDiv w:val="1"/>
      <w:marLeft w:val="0"/>
      <w:marRight w:val="0"/>
      <w:marTop w:val="0"/>
      <w:marBottom w:val="0"/>
      <w:divBdr>
        <w:top w:val="none" w:sz="0" w:space="0" w:color="auto"/>
        <w:left w:val="none" w:sz="0" w:space="0" w:color="auto"/>
        <w:bottom w:val="none" w:sz="0" w:space="0" w:color="auto"/>
        <w:right w:val="none" w:sz="0" w:space="0" w:color="auto"/>
      </w:divBdr>
    </w:div>
    <w:div w:id="1704671894">
      <w:bodyDiv w:val="1"/>
      <w:marLeft w:val="0"/>
      <w:marRight w:val="0"/>
      <w:marTop w:val="0"/>
      <w:marBottom w:val="0"/>
      <w:divBdr>
        <w:top w:val="none" w:sz="0" w:space="0" w:color="auto"/>
        <w:left w:val="none" w:sz="0" w:space="0" w:color="auto"/>
        <w:bottom w:val="none" w:sz="0" w:space="0" w:color="auto"/>
        <w:right w:val="none" w:sz="0" w:space="0" w:color="auto"/>
      </w:divBdr>
    </w:div>
    <w:div w:id="1749421474">
      <w:bodyDiv w:val="1"/>
      <w:marLeft w:val="0"/>
      <w:marRight w:val="0"/>
      <w:marTop w:val="0"/>
      <w:marBottom w:val="0"/>
      <w:divBdr>
        <w:top w:val="none" w:sz="0" w:space="0" w:color="auto"/>
        <w:left w:val="none" w:sz="0" w:space="0" w:color="auto"/>
        <w:bottom w:val="none" w:sz="0" w:space="0" w:color="auto"/>
        <w:right w:val="none" w:sz="0" w:space="0" w:color="auto"/>
      </w:divBdr>
    </w:div>
    <w:div w:id="1844474129">
      <w:bodyDiv w:val="1"/>
      <w:marLeft w:val="0"/>
      <w:marRight w:val="0"/>
      <w:marTop w:val="0"/>
      <w:marBottom w:val="0"/>
      <w:divBdr>
        <w:top w:val="none" w:sz="0" w:space="0" w:color="auto"/>
        <w:left w:val="none" w:sz="0" w:space="0" w:color="auto"/>
        <w:bottom w:val="none" w:sz="0" w:space="0" w:color="auto"/>
        <w:right w:val="none" w:sz="0" w:space="0" w:color="auto"/>
      </w:divBdr>
    </w:div>
    <w:div w:id="1857691451">
      <w:bodyDiv w:val="1"/>
      <w:marLeft w:val="0"/>
      <w:marRight w:val="0"/>
      <w:marTop w:val="0"/>
      <w:marBottom w:val="0"/>
      <w:divBdr>
        <w:top w:val="none" w:sz="0" w:space="0" w:color="auto"/>
        <w:left w:val="none" w:sz="0" w:space="0" w:color="auto"/>
        <w:bottom w:val="none" w:sz="0" w:space="0" w:color="auto"/>
        <w:right w:val="none" w:sz="0" w:space="0" w:color="auto"/>
      </w:divBdr>
    </w:div>
    <w:div w:id="1869877947">
      <w:bodyDiv w:val="1"/>
      <w:marLeft w:val="0"/>
      <w:marRight w:val="0"/>
      <w:marTop w:val="0"/>
      <w:marBottom w:val="0"/>
      <w:divBdr>
        <w:top w:val="none" w:sz="0" w:space="0" w:color="auto"/>
        <w:left w:val="none" w:sz="0" w:space="0" w:color="auto"/>
        <w:bottom w:val="none" w:sz="0" w:space="0" w:color="auto"/>
        <w:right w:val="none" w:sz="0" w:space="0" w:color="auto"/>
      </w:divBdr>
    </w:div>
    <w:div w:id="1877886360">
      <w:bodyDiv w:val="1"/>
      <w:marLeft w:val="0"/>
      <w:marRight w:val="0"/>
      <w:marTop w:val="0"/>
      <w:marBottom w:val="0"/>
      <w:divBdr>
        <w:top w:val="none" w:sz="0" w:space="0" w:color="auto"/>
        <w:left w:val="none" w:sz="0" w:space="0" w:color="auto"/>
        <w:bottom w:val="none" w:sz="0" w:space="0" w:color="auto"/>
        <w:right w:val="none" w:sz="0" w:space="0" w:color="auto"/>
      </w:divBdr>
    </w:div>
    <w:div w:id="2024354064">
      <w:bodyDiv w:val="1"/>
      <w:marLeft w:val="0"/>
      <w:marRight w:val="0"/>
      <w:marTop w:val="0"/>
      <w:marBottom w:val="0"/>
      <w:divBdr>
        <w:top w:val="none" w:sz="0" w:space="0" w:color="auto"/>
        <w:left w:val="none" w:sz="0" w:space="0" w:color="auto"/>
        <w:bottom w:val="none" w:sz="0" w:space="0" w:color="auto"/>
        <w:right w:val="none" w:sz="0" w:space="0" w:color="auto"/>
      </w:divBdr>
    </w:div>
    <w:div w:id="2073503418">
      <w:bodyDiv w:val="1"/>
      <w:marLeft w:val="0"/>
      <w:marRight w:val="0"/>
      <w:marTop w:val="0"/>
      <w:marBottom w:val="0"/>
      <w:divBdr>
        <w:top w:val="none" w:sz="0" w:space="0" w:color="auto"/>
        <w:left w:val="none" w:sz="0" w:space="0" w:color="auto"/>
        <w:bottom w:val="none" w:sz="0" w:space="0" w:color="auto"/>
        <w:right w:val="none" w:sz="0" w:space="0" w:color="auto"/>
      </w:divBdr>
    </w:div>
    <w:div w:id="21443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97FD-D999-4881-A778-9ACCE7DD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2370</Words>
  <Characters>13038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SOADE.LBADAOUI</dc:creator>
  <cp:keywords/>
  <dc:description/>
  <cp:lastModifiedBy>hp</cp:lastModifiedBy>
  <cp:revision>5</cp:revision>
  <dcterms:created xsi:type="dcterms:W3CDTF">2024-10-26T10:11:00Z</dcterms:created>
  <dcterms:modified xsi:type="dcterms:W3CDTF">2024-10-31T15:47:00Z</dcterms:modified>
</cp:coreProperties>
</file>