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543F2" w14:textId="77777777" w:rsidR="00D16413" w:rsidRPr="00D16413" w:rsidRDefault="00D16413" w:rsidP="00D16413">
      <w:pPr>
        <w:autoSpaceDE w:val="0"/>
        <w:autoSpaceDN w:val="0"/>
        <w:adjustRightInd w:val="0"/>
        <w:spacing w:after="0" w:line="240" w:lineRule="auto"/>
        <w:jc w:val="center"/>
        <w:rPr>
          <w:rFonts w:ascii="NotoSans-Regular" w:hAnsi="NotoSans-Regular" w:cs="NotoSans-Regular"/>
          <w:b/>
          <w:sz w:val="36"/>
          <w:szCs w:val="36"/>
          <w:lang w:val="fr-FR"/>
        </w:rPr>
      </w:pPr>
      <w:r w:rsidRPr="00D16413">
        <w:rPr>
          <w:rFonts w:ascii="NotoSans-Regular" w:hAnsi="NotoSans-Regular" w:cs="NotoSans-Regular"/>
          <w:b/>
          <w:sz w:val="36"/>
          <w:szCs w:val="36"/>
          <w:lang w:val="fr-FR"/>
        </w:rPr>
        <w:t>Efficacité et tolérance des antipsychotiques</w:t>
      </w:r>
    </w:p>
    <w:p w14:paraId="4CDC8FA7" w14:textId="77777777" w:rsidR="00D16413" w:rsidRPr="00D16413" w:rsidRDefault="00D16413" w:rsidP="00D16413">
      <w:pPr>
        <w:autoSpaceDE w:val="0"/>
        <w:autoSpaceDN w:val="0"/>
        <w:adjustRightInd w:val="0"/>
        <w:spacing w:after="0" w:line="240" w:lineRule="auto"/>
        <w:jc w:val="center"/>
        <w:rPr>
          <w:rFonts w:ascii="NotoSans-Regular" w:hAnsi="NotoSans-Regular" w:cs="NotoSans-Regular"/>
          <w:b/>
          <w:sz w:val="36"/>
          <w:szCs w:val="36"/>
          <w:lang w:val="fr-FR"/>
        </w:rPr>
      </w:pPr>
      <w:r w:rsidRPr="00D16413">
        <w:rPr>
          <w:rFonts w:ascii="NotoSans-Regular" w:hAnsi="NotoSans-Regular" w:cs="NotoSans-Regular"/>
          <w:b/>
          <w:sz w:val="36"/>
          <w:szCs w:val="36"/>
          <w:lang w:val="fr-FR"/>
        </w:rPr>
        <w:t>atypiques approuvés par la FDA pour le traitement</w:t>
      </w:r>
    </w:p>
    <w:p w14:paraId="447FD35B" w14:textId="77777777" w:rsidR="00D16413" w:rsidRPr="00D16413" w:rsidRDefault="00D16413" w:rsidP="00D16413">
      <w:pPr>
        <w:autoSpaceDE w:val="0"/>
        <w:autoSpaceDN w:val="0"/>
        <w:adjustRightInd w:val="0"/>
        <w:spacing w:after="0" w:line="240" w:lineRule="auto"/>
        <w:jc w:val="center"/>
        <w:rPr>
          <w:rFonts w:ascii="NotoSans-Regular" w:hAnsi="NotoSans-Regular" w:cs="NotoSans-Regular"/>
          <w:b/>
          <w:sz w:val="36"/>
          <w:szCs w:val="36"/>
          <w:lang w:val="fr-FR"/>
        </w:rPr>
      </w:pPr>
      <w:r w:rsidRPr="00D16413">
        <w:rPr>
          <w:rFonts w:ascii="NotoSans-Regular" w:hAnsi="NotoSans-Regular" w:cs="NotoSans-Regular"/>
          <w:b/>
          <w:sz w:val="36"/>
          <w:szCs w:val="36"/>
          <w:lang w:val="fr-FR"/>
        </w:rPr>
        <w:t>de la dépression bipolaire : revue systématique et</w:t>
      </w:r>
    </w:p>
    <w:p w14:paraId="51AF0E28" w14:textId="4341CD9D" w:rsidR="002141AD" w:rsidRDefault="00D16413" w:rsidP="002141AD">
      <w:pPr>
        <w:jc w:val="center"/>
        <w:rPr>
          <w:rFonts w:ascii="NotoSans-Regular" w:hAnsi="NotoSans-Regular" w:cs="NotoSans-Regular"/>
          <w:b/>
          <w:sz w:val="36"/>
          <w:szCs w:val="36"/>
        </w:rPr>
      </w:pPr>
      <w:r w:rsidRPr="00D16413">
        <w:rPr>
          <w:rFonts w:ascii="NotoSans-Regular" w:hAnsi="NotoSans-Regular" w:cs="NotoSans-Regular"/>
          <w:b/>
          <w:sz w:val="36"/>
          <w:szCs w:val="36"/>
        </w:rPr>
        <w:t>met</w:t>
      </w:r>
      <w:r w:rsidR="002141AD">
        <w:rPr>
          <w:rFonts w:ascii="NotoSans-Regular" w:hAnsi="NotoSans-Regular" w:cs="NotoSans-Regular"/>
          <w:b/>
          <w:sz w:val="36"/>
          <w:szCs w:val="36"/>
        </w:rPr>
        <w:t>a</w:t>
      </w:r>
      <w:r w:rsidRPr="00D16413">
        <w:rPr>
          <w:rFonts w:ascii="NotoSans-Regular" w:hAnsi="NotoSans-Regular" w:cs="NotoSans-Regular"/>
          <w:b/>
          <w:sz w:val="36"/>
          <w:szCs w:val="36"/>
        </w:rPr>
        <w:t>nalyses en réseau</w:t>
      </w:r>
    </w:p>
    <w:p w14:paraId="0F4CDE5E" w14:textId="4B48CF34" w:rsidR="002141AD" w:rsidRPr="002141AD" w:rsidRDefault="002141AD" w:rsidP="002141AD">
      <w:pPr>
        <w:autoSpaceDE w:val="0"/>
        <w:autoSpaceDN w:val="0"/>
        <w:adjustRightInd w:val="0"/>
        <w:spacing w:after="0" w:line="240" w:lineRule="auto"/>
        <w:jc w:val="center"/>
        <w:rPr>
          <w:rFonts w:ascii="AdvOT0e40dc65" w:hAnsi="AdvOT0e40dc65" w:cs="AdvOT0e40dc65"/>
          <w:sz w:val="36"/>
          <w:szCs w:val="36"/>
          <w:lang w:val="fr-FR"/>
        </w:rPr>
      </w:pPr>
      <w:r>
        <w:rPr>
          <w:rFonts w:ascii="AdvOT0e40dc65" w:hAnsi="AdvOT0e40dc65" w:cs="AdvOT0e40dc65"/>
          <w:sz w:val="36"/>
          <w:szCs w:val="36"/>
          <w:lang w:val="fr-FR"/>
        </w:rPr>
        <w:t>Efficacy and tolerability of FDA-approved</w:t>
      </w:r>
      <w:r>
        <w:rPr>
          <w:rFonts w:ascii="AdvOT0e40dc65" w:hAnsi="AdvOT0e40dc65" w:cs="AdvOT0e40dc65"/>
          <w:sz w:val="36"/>
          <w:szCs w:val="36"/>
          <w:lang w:val="fr-FR"/>
        </w:rPr>
        <w:t xml:space="preserve"> </w:t>
      </w:r>
      <w:r>
        <w:rPr>
          <w:rFonts w:ascii="AdvOT0e40dc65" w:hAnsi="AdvOT0e40dc65" w:cs="AdvOT0e40dc65"/>
          <w:sz w:val="36"/>
          <w:szCs w:val="36"/>
          <w:lang w:val="fr-FR"/>
        </w:rPr>
        <w:t>atypical antipsychotics for the treatment of</w:t>
      </w:r>
      <w:r>
        <w:rPr>
          <w:rFonts w:ascii="AdvOT0e40dc65" w:hAnsi="AdvOT0e40dc65" w:cs="AdvOT0e40dc65"/>
          <w:sz w:val="36"/>
          <w:szCs w:val="36"/>
          <w:lang w:val="fr-FR"/>
        </w:rPr>
        <w:t xml:space="preserve"> </w:t>
      </w:r>
      <w:r>
        <w:rPr>
          <w:rFonts w:ascii="AdvOT0e40dc65" w:hAnsi="AdvOT0e40dc65" w:cs="AdvOT0e40dc65"/>
          <w:sz w:val="36"/>
          <w:szCs w:val="36"/>
          <w:lang w:val="fr-FR"/>
        </w:rPr>
        <w:t>bipolar depression: a systematic review and</w:t>
      </w:r>
      <w:r>
        <w:rPr>
          <w:rFonts w:ascii="AdvOT0e40dc65" w:hAnsi="AdvOT0e40dc65" w:cs="AdvOT0e40dc65"/>
          <w:sz w:val="36"/>
          <w:szCs w:val="36"/>
          <w:lang w:val="fr-FR"/>
        </w:rPr>
        <w:t xml:space="preserve"> </w:t>
      </w:r>
      <w:r>
        <w:rPr>
          <w:rFonts w:ascii="AdvOT0e40dc65" w:hAnsi="AdvOT0e40dc65" w:cs="AdvOT0e40dc65"/>
          <w:sz w:val="36"/>
          <w:szCs w:val="36"/>
          <w:lang w:val="fr-FR"/>
        </w:rPr>
        <w:t>network meta-analysis</w:t>
      </w:r>
    </w:p>
    <w:p w14:paraId="07D530D5" w14:textId="77777777" w:rsidR="002141AD" w:rsidRPr="002141AD" w:rsidRDefault="002141AD" w:rsidP="002141AD">
      <w:pPr>
        <w:autoSpaceDE w:val="0"/>
        <w:autoSpaceDN w:val="0"/>
        <w:adjustRightInd w:val="0"/>
        <w:spacing w:after="0" w:line="240" w:lineRule="auto"/>
        <w:rPr>
          <w:rFonts w:ascii="AdvOTa42dc7d3.B" w:hAnsi="AdvOTa42dc7d3.B" w:cs="AdvOTa42dc7d3.B"/>
          <w:sz w:val="20"/>
          <w:szCs w:val="20"/>
          <w:lang w:val="fr-FR"/>
        </w:rPr>
      </w:pPr>
    </w:p>
    <w:p w14:paraId="4ECCC6D3" w14:textId="2DCA8B29" w:rsidR="002141AD" w:rsidRPr="002141AD" w:rsidRDefault="002141AD" w:rsidP="002141AD">
      <w:pPr>
        <w:autoSpaceDE w:val="0"/>
        <w:autoSpaceDN w:val="0"/>
        <w:adjustRightInd w:val="0"/>
        <w:spacing w:after="0" w:line="240" w:lineRule="auto"/>
        <w:rPr>
          <w:rFonts w:ascii="AdvOT0e40dc65" w:hAnsi="AdvOT0e40dc65" w:cs="AdvOT0e40dc65"/>
          <w:sz w:val="20"/>
          <w:szCs w:val="20"/>
          <w:lang w:val="fr-FR"/>
        </w:rPr>
      </w:pPr>
      <w:r w:rsidRPr="002141AD">
        <w:rPr>
          <w:rFonts w:ascii="AdvOTa42dc7d3.B" w:hAnsi="AdvOTa42dc7d3.B" w:cs="AdvOTa42dc7d3.B"/>
          <w:sz w:val="20"/>
          <w:szCs w:val="20"/>
          <w:lang w:val="fr-FR"/>
        </w:rPr>
        <w:t xml:space="preserve"> </w:t>
      </w:r>
      <w:r w:rsidRPr="002141AD">
        <w:rPr>
          <w:rFonts w:ascii="AdvOT0e40dc65" w:hAnsi="AdvOT0e40dc65" w:cs="AdvOT0e40dc65"/>
          <w:sz w:val="20"/>
          <w:szCs w:val="20"/>
          <w:lang w:val="fr-FR"/>
        </w:rPr>
        <w:t>Li S, Xu C, Hu S, Lai J (2024).</w:t>
      </w:r>
      <w:r>
        <w:rPr>
          <w:rFonts w:ascii="AdvOT0e40dc65" w:hAnsi="AdvOT0e40dc65" w:cs="AdvOT0e40dc65"/>
          <w:sz w:val="20"/>
          <w:szCs w:val="20"/>
          <w:lang w:val="fr-FR"/>
        </w:rPr>
        <w:t xml:space="preserve"> </w:t>
      </w:r>
      <w:r w:rsidRPr="002141AD">
        <w:rPr>
          <w:rFonts w:ascii="AdvOTcabc3928.I" w:hAnsi="AdvOTcabc3928.I" w:cs="AdvOTcabc3928.I"/>
          <w:sz w:val="20"/>
          <w:szCs w:val="20"/>
          <w:lang w:val="fr-FR"/>
        </w:rPr>
        <w:t>European Psychiatry</w:t>
      </w:r>
      <w:r w:rsidRPr="002141AD">
        <w:rPr>
          <w:rFonts w:ascii="AdvOT0e40dc65" w:hAnsi="AdvOT0e40dc65" w:cs="AdvOT0e40dc65"/>
          <w:sz w:val="20"/>
          <w:szCs w:val="20"/>
          <w:lang w:val="fr-FR"/>
        </w:rPr>
        <w:t>,</w:t>
      </w:r>
      <w:r>
        <w:rPr>
          <w:rFonts w:ascii="AdvOT0e40dc65" w:hAnsi="AdvOT0e40dc65" w:cs="AdvOT0e40dc65"/>
          <w:sz w:val="20"/>
          <w:szCs w:val="20"/>
          <w:lang w:val="fr-FR"/>
        </w:rPr>
        <w:t xml:space="preserve"> </w:t>
      </w:r>
      <w:r w:rsidRPr="002141AD">
        <w:rPr>
          <w:rFonts w:ascii="AdvOTa42dc7d3.B" w:hAnsi="AdvOTa42dc7d3.B" w:cs="AdvOTa42dc7d3.B"/>
          <w:sz w:val="20"/>
          <w:szCs w:val="20"/>
          <w:lang w:val="fr-FR"/>
        </w:rPr>
        <w:t>67</w:t>
      </w:r>
      <w:r w:rsidRPr="002141AD">
        <w:rPr>
          <w:rFonts w:ascii="AdvOT0e40dc65" w:hAnsi="AdvOT0e40dc65" w:cs="AdvOT0e40dc65"/>
          <w:sz w:val="20"/>
          <w:szCs w:val="20"/>
          <w:lang w:val="fr-FR"/>
        </w:rPr>
        <w:t>(1), e29, 1</w:t>
      </w:r>
      <w:r w:rsidRPr="002141AD">
        <w:rPr>
          <w:rFonts w:ascii="AdvOT0e40dc65+20" w:hAnsi="AdvOT0e40dc65+20" w:cs="AdvOT0e40dc65+20"/>
          <w:sz w:val="20"/>
          <w:szCs w:val="20"/>
          <w:lang w:val="fr-FR"/>
        </w:rPr>
        <w:t>–</w:t>
      </w:r>
      <w:r w:rsidRPr="002141AD">
        <w:rPr>
          <w:rFonts w:ascii="AdvOT0e40dc65" w:hAnsi="AdvOT0e40dc65" w:cs="AdvOT0e40dc65"/>
          <w:sz w:val="20"/>
          <w:szCs w:val="20"/>
          <w:lang w:val="fr-FR"/>
        </w:rPr>
        <w:t>9</w:t>
      </w:r>
    </w:p>
    <w:p w14:paraId="29B829BF" w14:textId="71C4AD6E" w:rsidR="002141AD" w:rsidRPr="002141AD" w:rsidRDefault="002141AD" w:rsidP="002141AD">
      <w:pPr>
        <w:rPr>
          <w:rFonts w:ascii="NotoSans-Regular" w:hAnsi="NotoSans-Regular" w:cs="NotoSans-Regular"/>
          <w:b/>
          <w:sz w:val="20"/>
          <w:szCs w:val="20"/>
        </w:rPr>
      </w:pPr>
      <w:r w:rsidRPr="002141AD">
        <w:rPr>
          <w:rFonts w:ascii="AdvOT0e40dc65" w:hAnsi="AdvOT0e40dc65" w:cs="AdvOT0e40dc65"/>
          <w:sz w:val="20"/>
          <w:szCs w:val="20"/>
          <w:lang w:val="fr-FR"/>
        </w:rPr>
        <w:t>https://doi.org/10.1192/j.eurpsy.2024.25</w:t>
      </w:r>
    </w:p>
    <w:p w14:paraId="4ECA7B0A" w14:textId="77777777" w:rsidR="00D16413" w:rsidRPr="00D16413" w:rsidRDefault="00D16413" w:rsidP="00D16413">
      <w:pPr>
        <w:pStyle w:val="Paragraphedeliste"/>
        <w:numPr>
          <w:ilvl w:val="0"/>
          <w:numId w:val="1"/>
        </w:numPr>
        <w:rPr>
          <w:rFonts w:ascii="NotoSans-Regular" w:hAnsi="NotoSans-Regular" w:cs="NotoSans-Regular"/>
          <w:b/>
          <w:color w:val="FF0000"/>
          <w:sz w:val="36"/>
          <w:szCs w:val="36"/>
        </w:rPr>
      </w:pPr>
      <w:r w:rsidRPr="00D16413">
        <w:rPr>
          <w:rFonts w:ascii="NotoSans-Regular" w:hAnsi="NotoSans-Regular" w:cs="NotoSans-Regular"/>
          <w:b/>
          <w:color w:val="FF0000"/>
          <w:sz w:val="36"/>
          <w:szCs w:val="36"/>
        </w:rPr>
        <w:t>Introduction:</w:t>
      </w:r>
    </w:p>
    <w:p w14:paraId="48DF0061" w14:textId="77777777" w:rsidR="00D16413" w:rsidRPr="00D16413" w:rsidRDefault="00D16413" w:rsidP="00D16413">
      <w:pPr>
        <w:jc w:val="both"/>
        <w:rPr>
          <w:rFonts w:ascii="NotoSans-Regular" w:hAnsi="NotoSans-Regular" w:cs="NotoSans-Regular"/>
          <w:sz w:val="24"/>
          <w:szCs w:val="24"/>
          <w:lang w:val="fr-FR"/>
        </w:rPr>
      </w:pPr>
      <w:r w:rsidRPr="00D16413">
        <w:rPr>
          <w:rFonts w:ascii="NotoSans-Regular" w:hAnsi="NotoSans-Regular" w:cs="NotoSans-Regular"/>
          <w:sz w:val="24"/>
          <w:szCs w:val="24"/>
          <w:lang w:val="fr-FR"/>
        </w:rPr>
        <w:t xml:space="preserve">Le trouble bipolaire (TB) est un trouble de l'humeur récurrent touchant plus de 1 % de la population mondiale. Les phases dépressives sont plus fréquentes et plus durables que les phases maniaques. </w:t>
      </w:r>
    </w:p>
    <w:p w14:paraId="2E1E6999" w14:textId="77777777" w:rsidR="00D16413" w:rsidRDefault="00D16413" w:rsidP="00D16413">
      <w:pPr>
        <w:jc w:val="both"/>
        <w:rPr>
          <w:rFonts w:ascii="NotoSans-Regular" w:hAnsi="NotoSans-Regular" w:cs="NotoSans-Regular"/>
          <w:sz w:val="24"/>
          <w:szCs w:val="24"/>
          <w:lang w:val="fr-FR"/>
        </w:rPr>
      </w:pPr>
      <w:r w:rsidRPr="00D16413">
        <w:rPr>
          <w:rFonts w:ascii="NotoSans-Regular" w:hAnsi="NotoSans-Regular" w:cs="NotoSans-Regular"/>
          <w:sz w:val="24"/>
          <w:szCs w:val="24"/>
          <w:lang w:val="fr-FR"/>
        </w:rPr>
        <w:t xml:space="preserve">Le traitement de la dépression bipolaire demeure complexe, malgré l'existence de diverses options non pharmacologiques. </w:t>
      </w:r>
    </w:p>
    <w:p w14:paraId="5FC5DCAF" w14:textId="77777777" w:rsidR="00D16413" w:rsidRPr="00D16413" w:rsidRDefault="00D16413" w:rsidP="00D16413">
      <w:pPr>
        <w:jc w:val="both"/>
        <w:rPr>
          <w:rFonts w:ascii="NotoSans-Regular" w:hAnsi="NotoSans-Regular" w:cs="NotoSans-Regular"/>
          <w:sz w:val="24"/>
          <w:szCs w:val="24"/>
          <w:lang w:val="fr-FR"/>
        </w:rPr>
      </w:pPr>
      <w:r w:rsidRPr="00D16413">
        <w:rPr>
          <w:rFonts w:ascii="NotoSans-Regular" w:hAnsi="NotoSans-Regular" w:cs="NotoSans-Regular"/>
          <w:sz w:val="24"/>
          <w:szCs w:val="24"/>
          <w:lang w:val="fr-FR"/>
        </w:rPr>
        <w:t>Les antipsychotiques atypiques (AAP) sont souvent utilisés, mais leur efficacité varie. Bien que certains AAP aient été approuvés par la FDA</w:t>
      </w:r>
      <w:r w:rsidR="00CE1927">
        <w:rPr>
          <w:rFonts w:ascii="NotoSans-Regular" w:hAnsi="NotoSans-Regular" w:cs="NotoSans-Regular"/>
          <w:sz w:val="24"/>
          <w:szCs w:val="24"/>
          <w:lang w:val="fr-FR"/>
        </w:rPr>
        <w:t xml:space="preserve"> (Food and drug administration)</w:t>
      </w:r>
      <w:r w:rsidRPr="00D16413">
        <w:rPr>
          <w:rFonts w:ascii="NotoSans-Regular" w:hAnsi="NotoSans-Regular" w:cs="NotoSans-Regular"/>
          <w:sz w:val="24"/>
          <w:szCs w:val="24"/>
          <w:lang w:val="fr-FR"/>
        </w:rPr>
        <w:t xml:space="preserve">, la plupart des traitements recommandés sont des stabilisateurs de l'humeur. </w:t>
      </w:r>
    </w:p>
    <w:p w14:paraId="32980CA2" w14:textId="51743290" w:rsidR="00D16413" w:rsidRDefault="00D16413" w:rsidP="00D16413">
      <w:pPr>
        <w:jc w:val="both"/>
        <w:rPr>
          <w:rFonts w:ascii="NotoSans-Regular" w:hAnsi="NotoSans-Regular" w:cs="NotoSans-Regular"/>
          <w:sz w:val="24"/>
          <w:szCs w:val="24"/>
          <w:lang w:val="fr-FR"/>
        </w:rPr>
      </w:pPr>
      <w:r w:rsidRPr="00D16413">
        <w:rPr>
          <w:rFonts w:ascii="NotoSans-Regular" w:hAnsi="NotoSans-Regular" w:cs="NotoSans-Regular"/>
          <w:sz w:val="24"/>
          <w:szCs w:val="24"/>
          <w:lang w:val="fr-FR"/>
        </w:rPr>
        <w:t>Cette étude vise à mettre à jour une méta-analyse en réseau pour comparer l'efficacité et la tolérance de cinq AAP approuvés par la FDA pour le traitement de la dépression bipolaire, en se concentrant sur des critères tels que le taux de réponse et les événements indésirables</w:t>
      </w:r>
      <w:r>
        <w:rPr>
          <w:rFonts w:ascii="NotoSans-Regular" w:hAnsi="NotoSans-Regular" w:cs="NotoSans-Regular"/>
          <w:sz w:val="24"/>
          <w:szCs w:val="24"/>
          <w:lang w:val="fr-FR"/>
        </w:rPr>
        <w:t>.</w:t>
      </w:r>
    </w:p>
    <w:p w14:paraId="0E296F22" w14:textId="77777777" w:rsidR="00D16413" w:rsidRPr="00936802" w:rsidRDefault="00D16413" w:rsidP="00176242">
      <w:pPr>
        <w:pStyle w:val="Paragraphedeliste"/>
        <w:numPr>
          <w:ilvl w:val="0"/>
          <w:numId w:val="1"/>
        </w:numPr>
        <w:jc w:val="both"/>
        <w:rPr>
          <w:rFonts w:ascii="NotoSans-Regular" w:hAnsi="NotoSans-Regular" w:cs="NotoSans-Regular"/>
          <w:color w:val="FF0000"/>
          <w:sz w:val="24"/>
          <w:szCs w:val="24"/>
          <w:lang w:val="fr-FR"/>
        </w:rPr>
      </w:pPr>
      <w:r w:rsidRPr="00936802">
        <w:rPr>
          <w:rFonts w:ascii="NotoSans-Regular" w:hAnsi="NotoSans-Regular" w:cs="NotoSans-Regular"/>
          <w:b/>
          <w:color w:val="FF0000"/>
          <w:sz w:val="36"/>
          <w:szCs w:val="24"/>
          <w:lang w:val="fr-FR"/>
        </w:rPr>
        <w:t> Méthode :</w:t>
      </w:r>
      <w:r w:rsidRPr="00936802">
        <w:rPr>
          <w:rFonts w:ascii="NotoSans-Regular" w:hAnsi="NotoSans-Regular" w:cs="NotoSans-Regular"/>
          <w:color w:val="FF0000"/>
          <w:sz w:val="24"/>
          <w:szCs w:val="24"/>
          <w:lang w:val="fr-FR"/>
        </w:rPr>
        <w:t xml:space="preserve"> </w:t>
      </w:r>
    </w:p>
    <w:p w14:paraId="66991B61" w14:textId="77777777" w:rsidR="00D16413" w:rsidRPr="00D16413" w:rsidRDefault="00D16413" w:rsidP="00176242">
      <w:pPr>
        <w:jc w:val="both"/>
        <w:rPr>
          <w:rFonts w:ascii="NotoSans-Regular" w:hAnsi="NotoSans-Regular" w:cs="NotoSans-Regular"/>
          <w:sz w:val="24"/>
          <w:szCs w:val="24"/>
          <w:lang w:val="fr-FR"/>
        </w:rPr>
      </w:pPr>
      <w:r w:rsidRPr="00D16413">
        <w:rPr>
          <w:rFonts w:ascii="NotoSans-Regular" w:hAnsi="NotoSans-Regular" w:cs="NotoSans-Regular"/>
          <w:sz w:val="24"/>
          <w:szCs w:val="24"/>
          <w:lang w:val="fr-FR"/>
        </w:rPr>
        <w:t>Cette méta-analyse en réseau (NMA) a été enregistrée dans la base de données PROSPERO</w:t>
      </w:r>
      <w:r w:rsidR="009E4BCC">
        <w:rPr>
          <w:rFonts w:ascii="NotoSans-Regular" w:hAnsi="NotoSans-Regular" w:cs="NotoSans-Regular"/>
          <w:sz w:val="24"/>
          <w:szCs w:val="24"/>
          <w:lang w:val="fr-FR"/>
        </w:rPr>
        <w:t xml:space="preserve"> ; </w:t>
      </w:r>
      <w:r w:rsidR="009E4BCC" w:rsidRPr="00D16413">
        <w:rPr>
          <w:rFonts w:ascii="NotoSans-Regular" w:hAnsi="NotoSans-Regular" w:cs="NotoSans-Regular"/>
          <w:sz w:val="24"/>
          <w:szCs w:val="24"/>
          <w:lang w:val="fr-FR"/>
        </w:rPr>
        <w:t>avec une recherche de publications entre mai 2020 et août 2022</w:t>
      </w:r>
      <w:r w:rsidRPr="00D16413">
        <w:rPr>
          <w:rFonts w:ascii="NotoSans-Regular" w:hAnsi="NotoSans-Regular" w:cs="NotoSans-Regular"/>
          <w:sz w:val="24"/>
          <w:szCs w:val="24"/>
          <w:lang w:val="fr-FR"/>
        </w:rPr>
        <w:t>.</w:t>
      </w:r>
    </w:p>
    <w:p w14:paraId="1ABC42A4" w14:textId="77777777" w:rsidR="00D16413" w:rsidRPr="00D16413" w:rsidRDefault="00D16413" w:rsidP="00176242">
      <w:pPr>
        <w:jc w:val="both"/>
        <w:rPr>
          <w:rFonts w:ascii="NotoSans-Regular" w:hAnsi="NotoSans-Regular" w:cs="NotoSans-Regular"/>
          <w:sz w:val="24"/>
          <w:szCs w:val="24"/>
          <w:lang w:val="fr-FR"/>
        </w:rPr>
      </w:pPr>
      <w:r w:rsidRPr="00D16413">
        <w:rPr>
          <w:rFonts w:ascii="NotoSans-Regular" w:hAnsi="NotoSans-Regular" w:cs="NotoSans-Regular"/>
          <w:sz w:val="24"/>
          <w:szCs w:val="24"/>
          <w:lang w:val="fr-FR"/>
        </w:rPr>
        <w:t>Deux chercheurs (Shaoli Li et Chenyue Xu) ont mené de manière indépendante une revue systématique de la littérature. Ils ont cherché des essais contrôlés randomisés (ECR) portant sur l'efficacité des antipsychotiques atypiques (AAP) approuvés par la FDA pour le traitement de la dépression bipolaire, incluant les médicaments suivants :</w:t>
      </w:r>
    </w:p>
    <w:p w14:paraId="43553E5B" w14:textId="77777777" w:rsidR="00D16413" w:rsidRPr="009E4BCC" w:rsidRDefault="00D16413" w:rsidP="00176242">
      <w:pPr>
        <w:spacing w:line="240" w:lineRule="auto"/>
        <w:ind w:left="720"/>
        <w:jc w:val="both"/>
        <w:rPr>
          <w:rFonts w:ascii="NotoSans-Regular" w:hAnsi="NotoSans-Regular" w:cs="NotoSans-Regular"/>
          <w:b/>
          <w:sz w:val="24"/>
          <w:szCs w:val="24"/>
          <w:lang w:val="fr-FR"/>
        </w:rPr>
      </w:pPr>
      <w:r w:rsidRPr="009E4BCC">
        <w:rPr>
          <w:rFonts w:ascii="NotoSans-Regular" w:hAnsi="NotoSans-Regular" w:cs="NotoSans-Regular"/>
          <w:b/>
          <w:sz w:val="24"/>
          <w:szCs w:val="24"/>
          <w:lang w:val="fr-FR"/>
        </w:rPr>
        <w:t>- Cariprazine</w:t>
      </w:r>
    </w:p>
    <w:p w14:paraId="38460C6A" w14:textId="77777777" w:rsidR="00D16413" w:rsidRPr="009E4BCC" w:rsidRDefault="00D16413" w:rsidP="00176242">
      <w:pPr>
        <w:spacing w:line="240" w:lineRule="auto"/>
        <w:ind w:left="720"/>
        <w:jc w:val="both"/>
        <w:rPr>
          <w:rFonts w:ascii="NotoSans-Regular" w:hAnsi="NotoSans-Regular" w:cs="NotoSans-Regular"/>
          <w:b/>
          <w:sz w:val="24"/>
          <w:szCs w:val="24"/>
          <w:lang w:val="fr-FR"/>
        </w:rPr>
      </w:pPr>
      <w:r w:rsidRPr="009E4BCC">
        <w:rPr>
          <w:rFonts w:ascii="NotoSans-Regular" w:hAnsi="NotoSans-Regular" w:cs="NotoSans-Regular"/>
          <w:b/>
          <w:sz w:val="24"/>
          <w:szCs w:val="24"/>
          <w:lang w:val="fr-FR"/>
        </w:rPr>
        <w:t>- Lumatepérone</w:t>
      </w:r>
    </w:p>
    <w:p w14:paraId="725712CD" w14:textId="77777777" w:rsidR="00D16413" w:rsidRPr="009E4BCC" w:rsidRDefault="00D16413" w:rsidP="00176242">
      <w:pPr>
        <w:spacing w:line="240" w:lineRule="auto"/>
        <w:ind w:left="720"/>
        <w:jc w:val="both"/>
        <w:rPr>
          <w:rFonts w:ascii="NotoSans-Regular" w:hAnsi="NotoSans-Regular" w:cs="NotoSans-Regular"/>
          <w:b/>
          <w:sz w:val="24"/>
          <w:szCs w:val="24"/>
          <w:lang w:val="fr-FR"/>
        </w:rPr>
      </w:pPr>
      <w:r w:rsidRPr="009E4BCC">
        <w:rPr>
          <w:rFonts w:ascii="NotoSans-Regular" w:hAnsi="NotoSans-Regular" w:cs="NotoSans-Regular"/>
          <w:b/>
          <w:sz w:val="24"/>
          <w:szCs w:val="24"/>
          <w:lang w:val="fr-FR"/>
        </w:rPr>
        <w:lastRenderedPageBreak/>
        <w:t>- Lurasidone</w:t>
      </w:r>
    </w:p>
    <w:p w14:paraId="11792994" w14:textId="77777777" w:rsidR="00D16413" w:rsidRPr="009E4BCC" w:rsidRDefault="00D16413" w:rsidP="00176242">
      <w:pPr>
        <w:spacing w:line="240" w:lineRule="auto"/>
        <w:ind w:left="720"/>
        <w:jc w:val="both"/>
        <w:rPr>
          <w:rFonts w:ascii="NotoSans-Regular" w:hAnsi="NotoSans-Regular" w:cs="NotoSans-Regular"/>
          <w:b/>
          <w:sz w:val="24"/>
          <w:szCs w:val="24"/>
          <w:lang w:val="fr-FR"/>
        </w:rPr>
      </w:pPr>
      <w:r w:rsidRPr="009E4BCC">
        <w:rPr>
          <w:rFonts w:ascii="NotoSans-Regular" w:hAnsi="NotoSans-Regular" w:cs="NotoSans-Regular"/>
          <w:b/>
          <w:sz w:val="24"/>
          <w:szCs w:val="24"/>
          <w:lang w:val="fr-FR"/>
        </w:rPr>
        <w:t>- Olanzapine</w:t>
      </w:r>
    </w:p>
    <w:p w14:paraId="703CC3D7" w14:textId="77777777" w:rsidR="009E4BCC" w:rsidRDefault="00D16413" w:rsidP="00176242">
      <w:pPr>
        <w:spacing w:line="240" w:lineRule="auto"/>
        <w:ind w:left="720"/>
        <w:jc w:val="both"/>
        <w:rPr>
          <w:rFonts w:ascii="NotoSans-Regular" w:hAnsi="NotoSans-Regular" w:cs="NotoSans-Regular"/>
          <w:b/>
          <w:sz w:val="24"/>
          <w:szCs w:val="24"/>
          <w:lang w:val="fr-FR"/>
        </w:rPr>
      </w:pPr>
      <w:r w:rsidRPr="009E4BCC">
        <w:rPr>
          <w:rFonts w:ascii="NotoSans-Regular" w:hAnsi="NotoSans-Regular" w:cs="NotoSans-Regular"/>
          <w:b/>
          <w:sz w:val="24"/>
          <w:szCs w:val="24"/>
          <w:lang w:val="fr-FR"/>
        </w:rPr>
        <w:t>- Quétiapine</w:t>
      </w:r>
    </w:p>
    <w:p w14:paraId="66320E55" w14:textId="77777777" w:rsidR="00D16413" w:rsidRPr="009E4BCC" w:rsidRDefault="009E4BCC" w:rsidP="00176242">
      <w:pPr>
        <w:spacing w:line="240" w:lineRule="auto"/>
        <w:jc w:val="both"/>
        <w:rPr>
          <w:rFonts w:ascii="NotoSans-Regular" w:hAnsi="NotoSans-Regular" w:cs="NotoSans-Regular"/>
          <w:b/>
          <w:color w:val="00B050"/>
          <w:sz w:val="24"/>
          <w:szCs w:val="24"/>
          <w:lang w:val="fr-FR"/>
        </w:rPr>
      </w:pPr>
      <w:r>
        <w:rPr>
          <w:rFonts w:ascii="NotoSans-Regular" w:hAnsi="NotoSans-Regular" w:cs="NotoSans-Regular"/>
          <w:b/>
          <w:color w:val="00B050"/>
          <w:sz w:val="24"/>
          <w:szCs w:val="24"/>
          <w:lang w:val="fr-FR"/>
        </w:rPr>
        <w:t xml:space="preserve">Les </w:t>
      </w:r>
      <w:r w:rsidR="00D16413" w:rsidRPr="009E4BCC">
        <w:rPr>
          <w:rFonts w:ascii="NotoSans-Regular" w:hAnsi="NotoSans-Regular" w:cs="NotoSans-Regular"/>
          <w:b/>
          <w:color w:val="00B050"/>
          <w:sz w:val="24"/>
          <w:szCs w:val="24"/>
          <w:lang w:val="fr-FR"/>
        </w:rPr>
        <w:t xml:space="preserve">Critères d'Inclusion </w:t>
      </w:r>
      <w:r>
        <w:rPr>
          <w:rFonts w:ascii="NotoSans-Regular" w:hAnsi="NotoSans-Regular" w:cs="NotoSans-Regular"/>
          <w:b/>
          <w:color w:val="00B050"/>
          <w:sz w:val="24"/>
          <w:szCs w:val="24"/>
          <w:lang w:val="fr-FR"/>
        </w:rPr>
        <w:t>:</w:t>
      </w:r>
    </w:p>
    <w:p w14:paraId="295CBD34" w14:textId="77777777" w:rsidR="00D16413" w:rsidRPr="009E4BCC" w:rsidRDefault="00D16413" w:rsidP="00176242">
      <w:pPr>
        <w:pStyle w:val="Paragraphedeliste"/>
        <w:numPr>
          <w:ilvl w:val="0"/>
          <w:numId w:val="3"/>
        </w:numPr>
        <w:jc w:val="both"/>
        <w:rPr>
          <w:rFonts w:ascii="NotoSans-Regular" w:hAnsi="NotoSans-Regular" w:cs="NotoSans-Regular"/>
          <w:sz w:val="24"/>
          <w:szCs w:val="24"/>
          <w:lang w:val="fr-FR"/>
        </w:rPr>
      </w:pPr>
      <w:r w:rsidRPr="009E4BCC">
        <w:rPr>
          <w:rFonts w:ascii="NotoSans-Regular" w:hAnsi="NotoSans-Regular" w:cs="NotoSans-Regular"/>
          <w:sz w:val="24"/>
          <w:szCs w:val="24"/>
          <w:lang w:val="fr-FR"/>
        </w:rPr>
        <w:t>Adultes âgés de 18 ans et plus, diagnostiqués avec un trouble bipolaire (au moins 50 % des participants ayant un trouble bipolaire de type I).</w:t>
      </w:r>
    </w:p>
    <w:p w14:paraId="65D34410" w14:textId="77777777" w:rsidR="00D16413" w:rsidRPr="009E4BCC" w:rsidRDefault="00D16413" w:rsidP="00176242">
      <w:pPr>
        <w:pStyle w:val="Paragraphedeliste"/>
        <w:numPr>
          <w:ilvl w:val="0"/>
          <w:numId w:val="3"/>
        </w:numPr>
        <w:jc w:val="both"/>
        <w:rPr>
          <w:rFonts w:ascii="NotoSans-Regular" w:hAnsi="NotoSans-Regular" w:cs="NotoSans-Regular"/>
          <w:sz w:val="24"/>
          <w:szCs w:val="24"/>
          <w:lang w:val="fr-FR"/>
        </w:rPr>
      </w:pPr>
      <w:r w:rsidRPr="009E4BCC">
        <w:rPr>
          <w:rFonts w:ascii="NotoSans-Regular" w:hAnsi="NotoSans-Regular" w:cs="NotoSans-Regular"/>
          <w:sz w:val="24"/>
          <w:szCs w:val="24"/>
          <w:lang w:val="fr-FR"/>
        </w:rPr>
        <w:t>ECR comparant au moins un des AAP mentionnés à un placebo ou à un autre AAP en monothérapie.</w:t>
      </w:r>
    </w:p>
    <w:p w14:paraId="74E70149" w14:textId="77777777" w:rsidR="00D16413" w:rsidRPr="009E4BCC" w:rsidRDefault="00D16413" w:rsidP="00176242">
      <w:pPr>
        <w:pStyle w:val="Paragraphedeliste"/>
        <w:numPr>
          <w:ilvl w:val="0"/>
          <w:numId w:val="3"/>
        </w:numPr>
        <w:jc w:val="both"/>
        <w:rPr>
          <w:rFonts w:ascii="NotoSans-Regular" w:hAnsi="NotoSans-Regular" w:cs="NotoSans-Regular"/>
          <w:sz w:val="24"/>
          <w:szCs w:val="24"/>
          <w:lang w:val="fr-FR"/>
        </w:rPr>
      </w:pPr>
      <w:r w:rsidRPr="009E4BCC">
        <w:rPr>
          <w:rFonts w:ascii="NotoSans-Regular" w:hAnsi="NotoSans-Regular" w:cs="NotoSans-Regular"/>
          <w:sz w:val="24"/>
          <w:szCs w:val="24"/>
          <w:lang w:val="fr-FR"/>
        </w:rPr>
        <w:t>Études rapportant au moins un des résultats d'intérêt (taux de réponse, taux de rémission, événements indésirables, etc.).</w:t>
      </w:r>
    </w:p>
    <w:p w14:paraId="5D2947CD" w14:textId="77777777" w:rsidR="00D16413" w:rsidRPr="009E4BCC" w:rsidRDefault="00D16413" w:rsidP="00176242">
      <w:pPr>
        <w:jc w:val="both"/>
        <w:rPr>
          <w:rFonts w:ascii="NotoSans-Regular" w:hAnsi="NotoSans-Regular" w:cs="NotoSans-Regular"/>
          <w:b/>
          <w:color w:val="00B050"/>
          <w:sz w:val="24"/>
          <w:szCs w:val="24"/>
          <w:lang w:val="fr-FR"/>
        </w:rPr>
      </w:pPr>
      <w:r w:rsidRPr="009E4BCC">
        <w:rPr>
          <w:rFonts w:ascii="NotoSans-Regular" w:hAnsi="NotoSans-Regular" w:cs="NotoSans-Regular"/>
          <w:b/>
          <w:color w:val="00B050"/>
          <w:sz w:val="24"/>
          <w:szCs w:val="24"/>
          <w:lang w:val="fr-FR"/>
        </w:rPr>
        <w:t>Les critères d'exclusion :</w:t>
      </w:r>
    </w:p>
    <w:p w14:paraId="13B46E19" w14:textId="77777777" w:rsidR="00D16413" w:rsidRPr="009E4BCC" w:rsidRDefault="00D16413" w:rsidP="00176242">
      <w:pPr>
        <w:pStyle w:val="Paragraphedeliste"/>
        <w:numPr>
          <w:ilvl w:val="0"/>
          <w:numId w:val="3"/>
        </w:numPr>
        <w:jc w:val="both"/>
        <w:rPr>
          <w:rFonts w:ascii="NotoSans-Regular" w:hAnsi="NotoSans-Regular" w:cs="NotoSans-Regular"/>
          <w:sz w:val="24"/>
          <w:szCs w:val="24"/>
          <w:lang w:val="fr-FR"/>
        </w:rPr>
      </w:pPr>
      <w:r w:rsidRPr="009E4BCC">
        <w:rPr>
          <w:rFonts w:ascii="NotoSans-Regular" w:hAnsi="NotoSans-Regular" w:cs="NotoSans-Regular"/>
          <w:sz w:val="24"/>
          <w:szCs w:val="24"/>
          <w:lang w:val="fr-FR"/>
        </w:rPr>
        <w:t>Études non randomisées, observationnelles ou de cas.</w:t>
      </w:r>
    </w:p>
    <w:p w14:paraId="0BF07AC5" w14:textId="77777777" w:rsidR="00D16413" w:rsidRPr="009E4BCC" w:rsidRDefault="00D16413" w:rsidP="00176242">
      <w:pPr>
        <w:pStyle w:val="Paragraphedeliste"/>
        <w:numPr>
          <w:ilvl w:val="0"/>
          <w:numId w:val="3"/>
        </w:numPr>
        <w:jc w:val="both"/>
        <w:rPr>
          <w:rFonts w:ascii="NotoSans-Regular" w:hAnsi="NotoSans-Regular" w:cs="NotoSans-Regular"/>
          <w:sz w:val="24"/>
          <w:szCs w:val="24"/>
          <w:lang w:val="fr-FR"/>
        </w:rPr>
      </w:pPr>
      <w:r w:rsidRPr="009E4BCC">
        <w:rPr>
          <w:rFonts w:ascii="NotoSans-Regular" w:hAnsi="NotoSans-Regular" w:cs="NotoSans-Regular"/>
          <w:sz w:val="24"/>
          <w:szCs w:val="24"/>
          <w:lang w:val="fr-FR"/>
        </w:rPr>
        <w:t>Traitements combinés avec d'autres médicaments non approuvés par la FDA pour la dépression bipolaire.</w:t>
      </w:r>
    </w:p>
    <w:p w14:paraId="23A28832" w14:textId="77777777" w:rsidR="00D16413" w:rsidRPr="00340F38" w:rsidRDefault="00D16413" w:rsidP="00176242">
      <w:pPr>
        <w:jc w:val="both"/>
        <w:rPr>
          <w:rFonts w:ascii="NotoSans-Regular" w:hAnsi="NotoSans-Regular" w:cs="NotoSans-Regular"/>
          <w:b/>
          <w:color w:val="00B050"/>
          <w:sz w:val="24"/>
          <w:szCs w:val="24"/>
          <w:lang w:val="fr-FR"/>
        </w:rPr>
      </w:pPr>
      <w:r w:rsidRPr="00340F38">
        <w:rPr>
          <w:rFonts w:ascii="NotoSans-Regular" w:hAnsi="NotoSans-Regular" w:cs="NotoSans-Regular"/>
          <w:b/>
          <w:color w:val="00B050"/>
          <w:sz w:val="24"/>
          <w:szCs w:val="24"/>
          <w:lang w:val="fr-FR"/>
        </w:rPr>
        <w:t>Extraction des Données</w:t>
      </w:r>
    </w:p>
    <w:p w14:paraId="2D4FBB95" w14:textId="77777777" w:rsidR="00D16413" w:rsidRPr="00D16413" w:rsidRDefault="00D16413" w:rsidP="00176242">
      <w:pPr>
        <w:jc w:val="both"/>
        <w:rPr>
          <w:rFonts w:ascii="NotoSans-Regular" w:hAnsi="NotoSans-Regular" w:cs="NotoSans-Regular"/>
          <w:sz w:val="24"/>
          <w:szCs w:val="24"/>
          <w:lang w:val="fr-FR"/>
        </w:rPr>
      </w:pPr>
      <w:r w:rsidRPr="00D16413">
        <w:rPr>
          <w:rFonts w:ascii="NotoSans-Regular" w:hAnsi="NotoSans-Regular" w:cs="NotoSans-Regular"/>
          <w:sz w:val="24"/>
          <w:szCs w:val="24"/>
          <w:lang w:val="fr-FR"/>
        </w:rPr>
        <w:t>Les données ont été extraites de manière indépendante par les deux chercheurs, incluant des variables telles que :</w:t>
      </w:r>
    </w:p>
    <w:p w14:paraId="66DC1FAA" w14:textId="77777777" w:rsidR="00D16413" w:rsidRPr="009E4BCC" w:rsidRDefault="00D16413" w:rsidP="00176242">
      <w:pPr>
        <w:pStyle w:val="Paragraphedeliste"/>
        <w:numPr>
          <w:ilvl w:val="0"/>
          <w:numId w:val="3"/>
        </w:numPr>
        <w:jc w:val="both"/>
        <w:rPr>
          <w:rFonts w:ascii="NotoSans-Regular" w:hAnsi="NotoSans-Regular" w:cs="NotoSans-Regular"/>
          <w:sz w:val="24"/>
          <w:szCs w:val="24"/>
          <w:lang w:val="fr-FR"/>
        </w:rPr>
      </w:pPr>
      <w:r w:rsidRPr="009E4BCC">
        <w:rPr>
          <w:rFonts w:ascii="NotoSans-Regular" w:hAnsi="NotoSans-Regular" w:cs="NotoSans-Regular"/>
          <w:sz w:val="24"/>
          <w:szCs w:val="24"/>
          <w:lang w:val="fr-FR"/>
        </w:rPr>
        <w:t>Caractéristiques des participants (âge, sexe, poids, type de trouble bipolaire).</w:t>
      </w:r>
    </w:p>
    <w:p w14:paraId="25B7A31D" w14:textId="77777777" w:rsidR="00D16413" w:rsidRPr="009E4BCC" w:rsidRDefault="00D16413" w:rsidP="00176242">
      <w:pPr>
        <w:pStyle w:val="Paragraphedeliste"/>
        <w:numPr>
          <w:ilvl w:val="0"/>
          <w:numId w:val="3"/>
        </w:numPr>
        <w:jc w:val="both"/>
        <w:rPr>
          <w:rFonts w:ascii="NotoSans-Regular" w:hAnsi="NotoSans-Regular" w:cs="NotoSans-Regular"/>
          <w:sz w:val="24"/>
          <w:szCs w:val="24"/>
          <w:lang w:val="fr-FR"/>
        </w:rPr>
      </w:pPr>
      <w:r w:rsidRPr="009E4BCC">
        <w:rPr>
          <w:rFonts w:ascii="NotoSans-Regular" w:hAnsi="NotoSans-Regular" w:cs="NotoSans-Regular"/>
          <w:sz w:val="24"/>
          <w:szCs w:val="24"/>
          <w:lang w:val="fr-FR"/>
        </w:rPr>
        <w:t>Interventions (type de médicament et dosage).</w:t>
      </w:r>
    </w:p>
    <w:p w14:paraId="463ED3BE" w14:textId="397B7CEC" w:rsidR="00D16413" w:rsidRPr="002141AD" w:rsidRDefault="00D16413" w:rsidP="00176242">
      <w:pPr>
        <w:pStyle w:val="Paragraphedeliste"/>
        <w:numPr>
          <w:ilvl w:val="0"/>
          <w:numId w:val="3"/>
        </w:numPr>
        <w:jc w:val="both"/>
        <w:rPr>
          <w:rFonts w:ascii="NotoSans-Regular" w:hAnsi="NotoSans-Regular" w:cs="NotoSans-Regular"/>
          <w:sz w:val="24"/>
          <w:szCs w:val="24"/>
          <w:lang w:val="fr-FR"/>
        </w:rPr>
      </w:pPr>
      <w:r w:rsidRPr="009E4BCC">
        <w:rPr>
          <w:rFonts w:ascii="NotoSans-Regular" w:hAnsi="NotoSans-Regular" w:cs="NotoSans-Regular"/>
          <w:sz w:val="24"/>
          <w:szCs w:val="24"/>
          <w:lang w:val="fr-FR"/>
        </w:rPr>
        <w:t>Résultats primaires et secondaires (taux de réponse, de rémission, événements indésirables, etc.).</w:t>
      </w:r>
    </w:p>
    <w:p w14:paraId="734E0673" w14:textId="77777777" w:rsidR="009E4BCC" w:rsidRPr="00340F38" w:rsidRDefault="009E4BCC" w:rsidP="00176242">
      <w:pPr>
        <w:pStyle w:val="Paragraphedeliste"/>
        <w:numPr>
          <w:ilvl w:val="0"/>
          <w:numId w:val="1"/>
        </w:numPr>
        <w:jc w:val="both"/>
        <w:rPr>
          <w:rFonts w:ascii="NotoSans-Regular" w:hAnsi="NotoSans-Regular" w:cs="NotoSans-Regular"/>
          <w:b/>
          <w:color w:val="FF0000"/>
          <w:sz w:val="34"/>
          <w:szCs w:val="24"/>
          <w:lang w:val="fr-FR"/>
        </w:rPr>
      </w:pPr>
      <w:r w:rsidRPr="00340F38">
        <w:rPr>
          <w:rFonts w:ascii="NotoSans-Regular" w:hAnsi="NotoSans-Regular" w:cs="NotoSans-Regular"/>
          <w:b/>
          <w:color w:val="FF0000"/>
          <w:sz w:val="34"/>
          <w:szCs w:val="24"/>
          <w:lang w:val="fr-FR"/>
        </w:rPr>
        <w:t xml:space="preserve">RESULTATS : </w:t>
      </w:r>
    </w:p>
    <w:p w14:paraId="135A4F3C" w14:textId="77777777" w:rsidR="009E4BCC" w:rsidRPr="009E4BCC" w:rsidRDefault="009E4BCC" w:rsidP="00176242">
      <w:pPr>
        <w:jc w:val="both"/>
        <w:rPr>
          <w:rFonts w:ascii="NotoSans-Regular" w:hAnsi="NotoSans-Regular" w:cs="NotoSans-Regular"/>
          <w:sz w:val="24"/>
          <w:szCs w:val="24"/>
          <w:lang w:val="fr-FR"/>
        </w:rPr>
      </w:pPr>
      <w:r w:rsidRPr="009E4BCC">
        <w:rPr>
          <w:rFonts w:ascii="NotoSans-Regular" w:hAnsi="NotoSans-Regular" w:cs="NotoSans-Regular"/>
          <w:sz w:val="24"/>
          <w:szCs w:val="24"/>
          <w:lang w:val="fr-FR"/>
        </w:rPr>
        <w:t>Un total de 16 essais contrôlés randomisés (ECR) a été inclus dans cette méta-analyse, impliquant 7234 participants au total. Parmi eux, 4734 patients ont reçu l'un des antipsychotiques atypiques (AAP), tandis que 2500 ont été assignés à un placebo.</w:t>
      </w:r>
    </w:p>
    <w:p w14:paraId="0A9E622E" w14:textId="77777777" w:rsidR="009E4BCC" w:rsidRPr="009E4BCC" w:rsidRDefault="009E4BCC" w:rsidP="00176242">
      <w:pPr>
        <w:jc w:val="both"/>
        <w:rPr>
          <w:rFonts w:ascii="NotoSans-Regular" w:hAnsi="NotoSans-Regular" w:cs="NotoSans-Regular"/>
          <w:sz w:val="24"/>
          <w:szCs w:val="24"/>
          <w:lang w:val="fr-FR"/>
        </w:rPr>
      </w:pPr>
      <w:r w:rsidRPr="009E4BCC">
        <w:rPr>
          <w:rFonts w:ascii="NotoSans-Regular" w:hAnsi="NotoSans-Regular" w:cs="NotoSans-Regular"/>
          <w:sz w:val="24"/>
          <w:szCs w:val="24"/>
          <w:lang w:val="fr-FR"/>
        </w:rPr>
        <w:t>Tous les AAP étudiés (cariprazine, lumatepérone, lurasidone, olanzapine, quétiapine) ont présenté des taux de réponse significativement plus élevés que le placebo. Le taux de réponse était défini comme une amélioration de 50 % ou plus sur l'échelle d'évaluation de la dépression de Montgomery-Åsberg (MADRS).</w:t>
      </w:r>
    </w:p>
    <w:p w14:paraId="792926B8" w14:textId="77777777" w:rsidR="009E4BCC" w:rsidRPr="009E4BCC" w:rsidRDefault="009E4BCC" w:rsidP="00176242">
      <w:pPr>
        <w:jc w:val="both"/>
        <w:rPr>
          <w:rFonts w:ascii="NotoSans-Regular" w:hAnsi="NotoSans-Regular" w:cs="NotoSans-Regular"/>
          <w:b/>
          <w:color w:val="00B050"/>
          <w:sz w:val="24"/>
          <w:szCs w:val="24"/>
          <w:lang w:val="fr-FR"/>
        </w:rPr>
      </w:pPr>
      <w:r w:rsidRPr="009E4BCC">
        <w:rPr>
          <w:rFonts w:ascii="NotoSans-Regular" w:hAnsi="NotoSans-Regular" w:cs="NotoSans-Regular"/>
          <w:b/>
          <w:color w:val="00B050"/>
          <w:sz w:val="24"/>
          <w:szCs w:val="24"/>
          <w:lang w:val="fr-FR"/>
        </w:rPr>
        <w:t xml:space="preserve">1) Taux de Rémission : </w:t>
      </w:r>
    </w:p>
    <w:p w14:paraId="3ABF60E6" w14:textId="77777777" w:rsidR="009E4BCC" w:rsidRDefault="009E4BCC" w:rsidP="00176242">
      <w:pPr>
        <w:jc w:val="both"/>
        <w:rPr>
          <w:rFonts w:ascii="NotoSans-Regular" w:hAnsi="NotoSans-Regular" w:cs="NotoSans-Regular"/>
          <w:sz w:val="24"/>
          <w:szCs w:val="24"/>
          <w:lang w:val="fr-FR"/>
        </w:rPr>
      </w:pPr>
      <w:r w:rsidRPr="009E4BCC">
        <w:rPr>
          <w:rFonts w:ascii="NotoSans-Regular" w:hAnsi="NotoSans-Regular" w:cs="NotoSans-Regular"/>
          <w:sz w:val="24"/>
          <w:szCs w:val="24"/>
          <w:lang w:val="fr-FR"/>
        </w:rPr>
        <w:t xml:space="preserve">  - La cariprazine, la lurasidone, l'olanzapine et la quétiapine ont montré des taux de rémission plus élevés que le placebo, avec des scores MADRS de 12 ou moins.</w:t>
      </w:r>
    </w:p>
    <w:p w14:paraId="5AF51B5D" w14:textId="77777777" w:rsidR="009E4BCC" w:rsidRPr="009E4BCC" w:rsidRDefault="009E4BCC" w:rsidP="00176242">
      <w:pPr>
        <w:jc w:val="both"/>
        <w:rPr>
          <w:rFonts w:ascii="NotoSans-Regular" w:hAnsi="NotoSans-Regular" w:cs="NotoSans-Regular"/>
          <w:b/>
          <w:color w:val="00B050"/>
          <w:sz w:val="24"/>
          <w:szCs w:val="24"/>
          <w:lang w:val="fr-FR"/>
        </w:rPr>
      </w:pPr>
      <w:r w:rsidRPr="009E4BCC">
        <w:rPr>
          <w:rFonts w:ascii="NotoSans-Regular" w:hAnsi="NotoSans-Regular" w:cs="NotoSans-Regular"/>
          <w:b/>
          <w:color w:val="00B050"/>
          <w:sz w:val="24"/>
          <w:szCs w:val="24"/>
          <w:lang w:val="fr-FR"/>
        </w:rPr>
        <w:t>2) Tolérance et Effets Secondaires :</w:t>
      </w:r>
    </w:p>
    <w:p w14:paraId="0827A764" w14:textId="77777777" w:rsidR="009E4BCC" w:rsidRPr="009E4BCC" w:rsidRDefault="009E4BCC" w:rsidP="00176242">
      <w:pPr>
        <w:jc w:val="both"/>
        <w:rPr>
          <w:rFonts w:ascii="NotoSans-Regular" w:hAnsi="NotoSans-Regular" w:cs="NotoSans-Regular"/>
          <w:sz w:val="24"/>
          <w:szCs w:val="24"/>
          <w:lang w:val="fr-FR"/>
        </w:rPr>
      </w:pPr>
      <w:r w:rsidRPr="009E4BCC">
        <w:rPr>
          <w:rFonts w:ascii="NotoSans-Regular" w:hAnsi="NotoSans-Regular" w:cs="NotoSans-Regular"/>
          <w:sz w:val="24"/>
          <w:szCs w:val="24"/>
          <w:lang w:val="fr-FR"/>
        </w:rPr>
        <w:lastRenderedPageBreak/>
        <w:t>Concernant la tolérance :</w:t>
      </w:r>
    </w:p>
    <w:p w14:paraId="744D4A51" w14:textId="77777777" w:rsidR="009E4BCC" w:rsidRPr="009E4BCC" w:rsidRDefault="009E4BCC" w:rsidP="00176242">
      <w:pPr>
        <w:pStyle w:val="Paragraphedeliste"/>
        <w:numPr>
          <w:ilvl w:val="0"/>
          <w:numId w:val="7"/>
        </w:numPr>
        <w:jc w:val="both"/>
        <w:rPr>
          <w:rFonts w:ascii="NotoSans-Regular" w:hAnsi="NotoSans-Regular" w:cs="NotoSans-Regular"/>
          <w:sz w:val="24"/>
          <w:szCs w:val="24"/>
          <w:lang w:val="fr-FR"/>
        </w:rPr>
      </w:pPr>
      <w:r w:rsidRPr="009E4BCC">
        <w:rPr>
          <w:rFonts w:ascii="NotoSans-Regular" w:hAnsi="NotoSans-Regular" w:cs="NotoSans-Regular"/>
          <w:b/>
          <w:sz w:val="24"/>
          <w:szCs w:val="24"/>
          <w:lang w:val="fr-FR"/>
        </w:rPr>
        <w:t>Olanzapine :</w:t>
      </w:r>
      <w:r w:rsidRPr="009E4BCC">
        <w:rPr>
          <w:rFonts w:ascii="NotoSans-Regular" w:hAnsi="NotoSans-Regular" w:cs="NotoSans-Regular"/>
          <w:sz w:val="24"/>
          <w:szCs w:val="24"/>
          <w:lang w:val="fr-FR"/>
        </w:rPr>
        <w:t xml:space="preserve"> A montré une probabilité significativement plus faible d'arrêt du traitement pour toutes causes confondues par rapport au placebo, indiquant une meilleure acceptabilité.</w:t>
      </w:r>
    </w:p>
    <w:p w14:paraId="43C9EED2" w14:textId="588959F3" w:rsidR="009E4BCC" w:rsidRPr="002141AD" w:rsidRDefault="009E4BCC" w:rsidP="002141AD">
      <w:pPr>
        <w:pStyle w:val="Paragraphedeliste"/>
        <w:numPr>
          <w:ilvl w:val="0"/>
          <w:numId w:val="7"/>
        </w:numPr>
        <w:jc w:val="both"/>
        <w:rPr>
          <w:rFonts w:ascii="NotoSans-Regular" w:hAnsi="NotoSans-Regular" w:cs="NotoSans-Regular"/>
          <w:sz w:val="24"/>
          <w:szCs w:val="24"/>
          <w:lang w:val="fr-FR"/>
        </w:rPr>
      </w:pPr>
      <w:r w:rsidRPr="009E4BCC">
        <w:rPr>
          <w:rFonts w:ascii="NotoSans-Regular" w:hAnsi="NotoSans-Regular" w:cs="NotoSans-Regular"/>
          <w:b/>
          <w:sz w:val="24"/>
          <w:szCs w:val="24"/>
          <w:lang w:val="fr-FR"/>
        </w:rPr>
        <w:t>Quétiapine :</w:t>
      </w:r>
      <w:r w:rsidRPr="009E4BCC">
        <w:rPr>
          <w:rFonts w:ascii="NotoSans-Regular" w:hAnsi="NotoSans-Regular" w:cs="NotoSans-Regular"/>
          <w:sz w:val="24"/>
          <w:szCs w:val="24"/>
          <w:lang w:val="fr-FR"/>
        </w:rPr>
        <w:t xml:space="preserve"> A été associée à un taux plus élevé d'arrêts de traitement en raison d'événements indésirables.</w:t>
      </w:r>
    </w:p>
    <w:p w14:paraId="34DBC4C2" w14:textId="77777777" w:rsidR="009E4BCC" w:rsidRPr="009E4BCC" w:rsidRDefault="009E4BCC" w:rsidP="00176242">
      <w:pPr>
        <w:jc w:val="both"/>
        <w:rPr>
          <w:rFonts w:ascii="NotoSans-Regular" w:hAnsi="NotoSans-Regular" w:cs="NotoSans-Regular"/>
          <w:b/>
          <w:color w:val="00B050"/>
          <w:sz w:val="24"/>
          <w:szCs w:val="24"/>
          <w:lang w:val="fr-FR"/>
        </w:rPr>
      </w:pPr>
      <w:r w:rsidRPr="009E4BCC">
        <w:rPr>
          <w:rFonts w:ascii="NotoSans-Regular" w:hAnsi="NotoSans-Regular" w:cs="NotoSans-Regular"/>
          <w:b/>
          <w:color w:val="00B050"/>
          <w:sz w:val="24"/>
          <w:szCs w:val="24"/>
          <w:lang w:val="fr-FR"/>
        </w:rPr>
        <w:t xml:space="preserve"> 3) Événements Indésirables :</w:t>
      </w:r>
    </w:p>
    <w:p w14:paraId="6E18117A" w14:textId="77777777" w:rsidR="009E4BCC" w:rsidRPr="009E4BCC" w:rsidRDefault="009E4BCC" w:rsidP="00176242">
      <w:pPr>
        <w:pStyle w:val="Paragraphedeliste"/>
        <w:numPr>
          <w:ilvl w:val="0"/>
          <w:numId w:val="9"/>
        </w:numPr>
        <w:jc w:val="both"/>
        <w:rPr>
          <w:rFonts w:ascii="NotoSans-Regular" w:hAnsi="NotoSans-Regular" w:cs="NotoSans-Regular"/>
          <w:sz w:val="24"/>
          <w:szCs w:val="24"/>
          <w:lang w:val="fr-FR"/>
        </w:rPr>
      </w:pPr>
      <w:r w:rsidRPr="009E4BCC">
        <w:rPr>
          <w:rFonts w:ascii="NotoSans-Regular" w:hAnsi="NotoSans-Regular" w:cs="NotoSans-Regular"/>
          <w:b/>
          <w:sz w:val="24"/>
          <w:szCs w:val="24"/>
          <w:lang w:val="fr-FR"/>
        </w:rPr>
        <w:t>Somnolence :</w:t>
      </w:r>
      <w:r w:rsidRPr="009E4BCC">
        <w:rPr>
          <w:rFonts w:ascii="NotoSans-Regular" w:hAnsi="NotoSans-Regular" w:cs="NotoSans-Regular"/>
          <w:sz w:val="24"/>
          <w:szCs w:val="24"/>
          <w:lang w:val="fr-FR"/>
        </w:rPr>
        <w:t xml:space="preserve"> La lumatepérone, l'olanzapine et la quétiapine ont présenté des taux plus élevés de somnolence par rapport au placebo.</w:t>
      </w:r>
    </w:p>
    <w:p w14:paraId="7D9AD31E" w14:textId="2516D0B4" w:rsidR="009E4BCC" w:rsidRPr="002141AD" w:rsidRDefault="009E4BCC" w:rsidP="00176242">
      <w:pPr>
        <w:pStyle w:val="Paragraphedeliste"/>
        <w:numPr>
          <w:ilvl w:val="0"/>
          <w:numId w:val="9"/>
        </w:numPr>
        <w:jc w:val="both"/>
        <w:rPr>
          <w:rFonts w:ascii="NotoSans-Regular" w:hAnsi="NotoSans-Regular" w:cs="NotoSans-Regular"/>
          <w:sz w:val="24"/>
          <w:szCs w:val="24"/>
          <w:lang w:val="fr-FR"/>
        </w:rPr>
      </w:pPr>
      <w:r w:rsidRPr="009E4BCC">
        <w:rPr>
          <w:rFonts w:ascii="NotoSans-Regular" w:hAnsi="NotoSans-Regular" w:cs="NotoSans-Regular"/>
          <w:b/>
          <w:sz w:val="24"/>
          <w:szCs w:val="24"/>
          <w:lang w:val="fr-FR"/>
        </w:rPr>
        <w:t xml:space="preserve">Prise de Poids : </w:t>
      </w:r>
      <w:r w:rsidRPr="009E4BCC">
        <w:rPr>
          <w:rFonts w:ascii="NotoSans-Regular" w:hAnsi="NotoSans-Regular" w:cs="NotoSans-Regular"/>
          <w:sz w:val="24"/>
          <w:szCs w:val="24"/>
          <w:lang w:val="fr-FR"/>
        </w:rPr>
        <w:t>La lumatepérone a montré un taux de prise de poids inférieur (≥7 %) par rapport aux autres traitements. En revanche, l'olanzapine a été associée à une augmentation significative du cholestérol total et des triglycérides.</w:t>
      </w:r>
    </w:p>
    <w:p w14:paraId="37A21D09" w14:textId="77777777" w:rsidR="009E4BCC" w:rsidRPr="009E4BCC" w:rsidRDefault="009E4BCC" w:rsidP="00176242">
      <w:pPr>
        <w:jc w:val="both"/>
        <w:rPr>
          <w:rFonts w:ascii="NotoSans-Regular" w:hAnsi="NotoSans-Regular" w:cs="NotoSans-Regular"/>
          <w:b/>
          <w:color w:val="00B050"/>
          <w:sz w:val="24"/>
          <w:szCs w:val="24"/>
          <w:lang w:val="fr-FR"/>
        </w:rPr>
      </w:pPr>
      <w:r w:rsidRPr="009E4BCC">
        <w:rPr>
          <w:rFonts w:ascii="NotoSans-Regular" w:hAnsi="NotoSans-Regular" w:cs="NotoSans-Regular"/>
          <w:b/>
          <w:color w:val="00B050"/>
          <w:sz w:val="24"/>
          <w:szCs w:val="24"/>
          <w:lang w:val="fr-FR"/>
        </w:rPr>
        <w:t xml:space="preserve">4) Classement des Traitements : </w:t>
      </w:r>
    </w:p>
    <w:p w14:paraId="6140B4EA" w14:textId="77777777" w:rsidR="009E4BCC" w:rsidRPr="009E4BCC" w:rsidRDefault="009E4BCC" w:rsidP="00176242">
      <w:pPr>
        <w:jc w:val="both"/>
        <w:rPr>
          <w:rFonts w:ascii="NotoSans-Regular" w:hAnsi="NotoSans-Regular" w:cs="NotoSans-Regular"/>
          <w:sz w:val="24"/>
          <w:szCs w:val="24"/>
          <w:lang w:val="fr-FR"/>
        </w:rPr>
      </w:pPr>
      <w:r w:rsidRPr="009E4BCC">
        <w:rPr>
          <w:rFonts w:ascii="NotoSans-Regular" w:hAnsi="NotoSans-Regular" w:cs="NotoSans-Regular"/>
          <w:sz w:val="24"/>
          <w:szCs w:val="24"/>
          <w:lang w:val="fr-FR"/>
        </w:rPr>
        <w:t>Les analyses de classement basées sur la surface sous la courbe de classement cumulatif (SUCRA) ont révélé que :</w:t>
      </w:r>
    </w:p>
    <w:p w14:paraId="0A695C43" w14:textId="77777777" w:rsidR="009E4BCC" w:rsidRPr="009E4BCC" w:rsidRDefault="009E4BCC" w:rsidP="00176242">
      <w:pPr>
        <w:pStyle w:val="Paragraphedeliste"/>
        <w:numPr>
          <w:ilvl w:val="0"/>
          <w:numId w:val="11"/>
        </w:numPr>
        <w:jc w:val="both"/>
        <w:rPr>
          <w:rFonts w:ascii="NotoSans-Regular" w:hAnsi="NotoSans-Regular" w:cs="NotoSans-Regular"/>
          <w:sz w:val="24"/>
          <w:szCs w:val="24"/>
          <w:lang w:val="fr-FR"/>
        </w:rPr>
      </w:pPr>
      <w:r w:rsidRPr="009E4BCC">
        <w:rPr>
          <w:rFonts w:ascii="NotoSans-Regular" w:hAnsi="NotoSans-Regular" w:cs="NotoSans-Regular"/>
          <w:b/>
          <w:sz w:val="24"/>
          <w:szCs w:val="24"/>
          <w:lang w:val="fr-FR"/>
        </w:rPr>
        <w:t>Quétiapine :</w:t>
      </w:r>
      <w:r w:rsidRPr="009E4BCC">
        <w:rPr>
          <w:rFonts w:ascii="NotoSans-Regular" w:hAnsi="NotoSans-Regular" w:cs="NotoSans-Regular"/>
          <w:sz w:val="24"/>
          <w:szCs w:val="24"/>
          <w:lang w:val="fr-FR"/>
        </w:rPr>
        <w:t xml:space="preserve"> Classée au premier rang pour le taux de réponse.</w:t>
      </w:r>
    </w:p>
    <w:p w14:paraId="470C6222" w14:textId="3E3165A6" w:rsidR="00936802" w:rsidRPr="002141AD" w:rsidRDefault="009E4BCC" w:rsidP="002141AD">
      <w:pPr>
        <w:pStyle w:val="Paragraphedeliste"/>
        <w:numPr>
          <w:ilvl w:val="0"/>
          <w:numId w:val="11"/>
        </w:numPr>
        <w:jc w:val="both"/>
        <w:rPr>
          <w:rFonts w:ascii="NotoSans-Regular" w:hAnsi="NotoSans-Regular" w:cs="NotoSans-Regular"/>
          <w:sz w:val="24"/>
          <w:szCs w:val="24"/>
          <w:lang w:val="fr-FR"/>
        </w:rPr>
      </w:pPr>
      <w:r w:rsidRPr="009E4BCC">
        <w:rPr>
          <w:rFonts w:ascii="NotoSans-Regular" w:hAnsi="NotoSans-Regular" w:cs="NotoSans-Regular"/>
          <w:b/>
          <w:sz w:val="24"/>
          <w:szCs w:val="24"/>
          <w:lang w:val="fr-FR"/>
        </w:rPr>
        <w:t>Olanzapine :</w:t>
      </w:r>
      <w:r w:rsidRPr="009E4BCC">
        <w:rPr>
          <w:rFonts w:ascii="NotoSans-Regular" w:hAnsi="NotoSans-Regular" w:cs="NotoSans-Regular"/>
          <w:sz w:val="24"/>
          <w:szCs w:val="24"/>
          <w:lang w:val="fr-FR"/>
        </w:rPr>
        <w:t xml:space="preserve"> Classée comme le traitement le mieux toléré en ce qui concerne l'arrêt du traitement pour toutes causes confondues.</w:t>
      </w:r>
    </w:p>
    <w:p w14:paraId="411D93FC" w14:textId="77777777" w:rsidR="00936802" w:rsidRPr="00936802" w:rsidRDefault="00936802" w:rsidP="00936802">
      <w:pPr>
        <w:pStyle w:val="Paragraphedeliste"/>
        <w:numPr>
          <w:ilvl w:val="0"/>
          <w:numId w:val="1"/>
        </w:numPr>
        <w:jc w:val="both"/>
        <w:rPr>
          <w:rFonts w:ascii="NotoSans-Regular" w:hAnsi="NotoSans-Regular" w:cs="NotoSans-Regular"/>
          <w:b/>
          <w:color w:val="FF0000"/>
          <w:sz w:val="36"/>
          <w:szCs w:val="24"/>
          <w:lang w:val="fr-FR"/>
        </w:rPr>
      </w:pPr>
      <w:r w:rsidRPr="00936802">
        <w:rPr>
          <w:rFonts w:ascii="NotoSans-Regular" w:hAnsi="NotoSans-Regular" w:cs="NotoSans-Regular"/>
          <w:b/>
          <w:color w:val="FF0000"/>
          <w:sz w:val="36"/>
          <w:szCs w:val="24"/>
          <w:lang w:val="fr-FR"/>
        </w:rPr>
        <w:t xml:space="preserve">DISCUSSION : </w:t>
      </w:r>
    </w:p>
    <w:p w14:paraId="26C2F806" w14:textId="77777777" w:rsidR="00936802" w:rsidRPr="00936802" w:rsidRDefault="00936802" w:rsidP="00936802">
      <w:pPr>
        <w:pStyle w:val="NormalWeb"/>
        <w:jc w:val="both"/>
        <w:rPr>
          <w:lang w:val="fr-FR"/>
        </w:rPr>
      </w:pPr>
      <w:r w:rsidRPr="00936802">
        <w:rPr>
          <w:lang w:val="fr-FR"/>
        </w:rPr>
        <w:t>Cette étude a mis à jour une évaluation en réseau des essais contrôlés randomisés (ECR) sur l'efficacité et la tolérance de cinq antipsychotiques atypiques (AAP) approuvés par la FDA pour la dépression bipolaire aiguë, y compris la nouvelle lumatepérone. Les résultats montrent que tous les AAP ont eu des taux de réponse au traitement supérieurs à ceux du placebo sur des périodes de 6 à 8 semaines. Bien que la quétiapine ait affiché les taux de réponse et de rémission les plus élevés, elle présentait également un risque accru d'arrêt du traitement en raison d'événements indésirables. En revanche, l'olanzapine a montré un risque d'arrêt du traitement plus faible, mais a été associée à une augmentation significative du cholestérol et des triglycérides.</w:t>
      </w:r>
    </w:p>
    <w:p w14:paraId="20B1D0FA" w14:textId="77777777" w:rsidR="00936802" w:rsidRPr="00936802" w:rsidRDefault="00936802" w:rsidP="00936802">
      <w:pPr>
        <w:pStyle w:val="NormalWeb"/>
        <w:jc w:val="both"/>
        <w:rPr>
          <w:lang w:val="fr-FR"/>
        </w:rPr>
      </w:pPr>
      <w:r w:rsidRPr="00936802">
        <w:rPr>
          <w:lang w:val="fr-FR"/>
        </w:rPr>
        <w:t>Trois AAP (lumatepérone, olanzapine et quétiapine) ont eu des taux de somnolence plus élevés, bien que la lumatepérone ait montré une prise de poids inférieure. Les résultats fournissent une base pour le développement de traitements individualisés pour les patients souffrant de dépression bipolaire.</w:t>
      </w:r>
    </w:p>
    <w:p w14:paraId="60AAD5A5" w14:textId="77777777" w:rsidR="00936802" w:rsidRPr="00936802" w:rsidRDefault="00936802" w:rsidP="00936802">
      <w:pPr>
        <w:pStyle w:val="NormalWeb"/>
        <w:jc w:val="both"/>
        <w:rPr>
          <w:lang w:val="fr-FR"/>
        </w:rPr>
      </w:pPr>
      <w:r w:rsidRPr="00936802">
        <w:rPr>
          <w:lang w:val="fr-FR"/>
        </w:rPr>
        <w:t>L'étude a inclus 16 ECR, dont la moitié portait sur des patients atteints de trouble bipolaire de type I (BPAD1) et l'autre moitié sur des patients atteints de BPAD1 et de type II (BPAD2). La quétiapine s'est révélée particulièrement efficace pour les patients atteints de BPAD2, ce qui nécessite des recherches supplémentaires.</w:t>
      </w:r>
    </w:p>
    <w:p w14:paraId="14D2F815" w14:textId="77777777" w:rsidR="00936802" w:rsidRPr="00936802" w:rsidRDefault="00936802" w:rsidP="00936802">
      <w:pPr>
        <w:pStyle w:val="NormalWeb"/>
        <w:jc w:val="both"/>
        <w:rPr>
          <w:lang w:val="fr-FR"/>
        </w:rPr>
      </w:pPr>
      <w:r w:rsidRPr="00936802">
        <w:rPr>
          <w:lang w:val="fr-FR"/>
        </w:rPr>
        <w:lastRenderedPageBreak/>
        <w:t>Comparée à une étude précédente de 2020, cette mise à jour a inclus de nouveaux ECR, révélant que la quétiapine se classe maintenant au premier rang pour la réponse au traitement. La lumatepérone a montré une réponse significative, mais des précautions sont nécessaires en raison de l'échantillon limité.</w:t>
      </w:r>
    </w:p>
    <w:p w14:paraId="7C83E8A2" w14:textId="77777777" w:rsidR="00936802" w:rsidRPr="00936802" w:rsidRDefault="00936802" w:rsidP="00936802">
      <w:pPr>
        <w:pStyle w:val="NormalWeb"/>
        <w:jc w:val="both"/>
        <w:rPr>
          <w:lang w:val="fr-FR"/>
        </w:rPr>
      </w:pPr>
      <w:r w:rsidRPr="00936802">
        <w:rPr>
          <w:lang w:val="fr-FR"/>
        </w:rPr>
        <w:t>Les effets secondaires métaboliques sont une préoccupation majeure, l'olanzapine ayant un risque élevé de prise de poids, suivi de la quétiapine et de la cariprazine. Cependant, l'olanzapine présente l'avantage d'une meilleure tolérance en termes d'arrêt du traitement.</w:t>
      </w:r>
    </w:p>
    <w:p w14:paraId="6B809918" w14:textId="77777777" w:rsidR="00936802" w:rsidRPr="00936802" w:rsidRDefault="00936802" w:rsidP="00936802">
      <w:pPr>
        <w:pStyle w:val="NormalWeb"/>
        <w:jc w:val="both"/>
        <w:rPr>
          <w:lang w:val="fr-FR"/>
        </w:rPr>
      </w:pPr>
      <w:r w:rsidRPr="00936802">
        <w:rPr>
          <w:lang w:val="fr-FR"/>
        </w:rPr>
        <w:t>L'étude souligne aussi le potentiel des AAP pour traiter les troubles du sommeil, avec une attention particulière à la lumatepérone, qui n'aggrave pas la charge métabolique.</w:t>
      </w:r>
    </w:p>
    <w:p w14:paraId="61B28229" w14:textId="14633277" w:rsidR="00936802" w:rsidRDefault="00936802" w:rsidP="002141AD">
      <w:pPr>
        <w:pStyle w:val="NormalWeb"/>
        <w:jc w:val="both"/>
        <w:rPr>
          <w:lang w:val="fr-FR"/>
        </w:rPr>
      </w:pPr>
      <w:r w:rsidRPr="00936802">
        <w:rPr>
          <w:lang w:val="fr-FR"/>
        </w:rPr>
        <w:t>Des limites incluent la qualité des études incluses, l'hétérogénéité des participants et le manque d'études comparatives directes. De plus, l'évaluation s'est limitée à l'échelle MADRS pour mesurer la dépression, sans inclure d'autres échelles psychométriques ou événements indésirables.</w:t>
      </w:r>
    </w:p>
    <w:p w14:paraId="18383BCF" w14:textId="77777777" w:rsidR="00176242" w:rsidRPr="00176242" w:rsidRDefault="00936802" w:rsidP="00176242">
      <w:pPr>
        <w:pStyle w:val="NormalWeb"/>
        <w:numPr>
          <w:ilvl w:val="0"/>
          <w:numId w:val="1"/>
        </w:numPr>
        <w:rPr>
          <w:b/>
          <w:color w:val="FF0000"/>
          <w:sz w:val="36"/>
          <w:lang w:val="fr-FR"/>
        </w:rPr>
      </w:pPr>
      <w:r w:rsidRPr="00936802">
        <w:rPr>
          <w:b/>
          <w:color w:val="FF0000"/>
          <w:sz w:val="36"/>
          <w:lang w:val="fr-FR"/>
        </w:rPr>
        <w:t xml:space="preserve">Conclusion : </w:t>
      </w:r>
    </w:p>
    <w:p w14:paraId="405B30AB" w14:textId="77777777" w:rsidR="00176242" w:rsidRPr="00176242" w:rsidRDefault="00176242" w:rsidP="00176242">
      <w:pPr>
        <w:jc w:val="both"/>
        <w:rPr>
          <w:rFonts w:ascii="NotoSans-Regular" w:hAnsi="NotoSans-Regular" w:cs="NotoSans-Regular"/>
          <w:sz w:val="24"/>
          <w:szCs w:val="24"/>
          <w:lang w:val="fr-FR"/>
        </w:rPr>
      </w:pPr>
      <w:r w:rsidRPr="00176242">
        <w:rPr>
          <w:rFonts w:ascii="NotoSans-Regular" w:hAnsi="NotoSans-Regular" w:cs="NotoSans-Regular"/>
          <w:sz w:val="24"/>
          <w:szCs w:val="24"/>
          <w:lang w:val="fr-FR"/>
        </w:rPr>
        <w:t xml:space="preserve">L'étude actuelle de méta-analyse en réseau (NMA) fournit une évaluation actualisée de l'efficacité et de la tolérance des antipsychotiques atypiques approuvés par la FDA pour le traitement de la dépression bipolaire aiguë chez les adultes. Tous les cinq antipsychotiques étudiés ont démontré une efficacité notable, avec la quétiapine et la lurasidone affichant les résultats les plus favorables. </w:t>
      </w:r>
    </w:p>
    <w:p w14:paraId="0566DA01" w14:textId="77777777" w:rsidR="00936802" w:rsidRPr="00936802" w:rsidRDefault="00176242" w:rsidP="00176242">
      <w:pPr>
        <w:jc w:val="both"/>
        <w:rPr>
          <w:rFonts w:ascii="NotoSans-Regular" w:hAnsi="NotoSans-Regular" w:cs="NotoSans-Regular"/>
          <w:sz w:val="24"/>
          <w:szCs w:val="24"/>
          <w:lang w:val="fr-FR"/>
        </w:rPr>
      </w:pPr>
      <w:r w:rsidRPr="00176242">
        <w:rPr>
          <w:rFonts w:ascii="NotoSans-Regular" w:hAnsi="NotoSans-Regular" w:cs="NotoSans-Regular"/>
          <w:sz w:val="24"/>
          <w:szCs w:val="24"/>
          <w:lang w:val="fr-FR"/>
        </w:rPr>
        <w:t>Les effets indésirables et les impacts métaboliques varient entre les agents, ce qui souligne l'importance d'une prescription individualisée dans la pratique clinique. Pour renforcer ces résultats, il est essentiel de réaliser des essais contrôlés randomisés (ECR) de meilleure qualité et mieux conçus. Cette approche permettra d'affiner davantage les recommandations de traitement pour les patients souffrant de dépression bipolaire.</w:t>
      </w:r>
    </w:p>
    <w:p w14:paraId="55C60F96" w14:textId="77777777" w:rsidR="009E4BCC" w:rsidRPr="00340F38" w:rsidRDefault="009E4BCC" w:rsidP="00340F38">
      <w:pPr>
        <w:ind w:left="720"/>
        <w:jc w:val="center"/>
        <w:rPr>
          <w:rFonts w:ascii="NotoSans-Regular" w:hAnsi="NotoSans-Regular" w:cs="NotoSans-Regular"/>
          <w:b/>
          <w:color w:val="0070C0"/>
          <w:sz w:val="34"/>
          <w:szCs w:val="24"/>
          <w:lang w:val="fr-FR"/>
        </w:rPr>
      </w:pPr>
    </w:p>
    <w:p w14:paraId="230510D3" w14:textId="77777777" w:rsidR="002141AD" w:rsidRDefault="002141AD" w:rsidP="002141AD">
      <w:pPr>
        <w:ind w:left="720"/>
        <w:jc w:val="right"/>
        <w:rPr>
          <w:rFonts w:ascii="NotoSans-Regular" w:hAnsi="NotoSans-Regular" w:cs="NotoSans-Regular"/>
          <w:color w:val="0070C0"/>
          <w:sz w:val="24"/>
          <w:szCs w:val="24"/>
          <w:lang w:val="fr-FR"/>
        </w:rPr>
      </w:pPr>
      <w:r>
        <w:rPr>
          <w:rFonts w:ascii="NotoSans-Regular" w:hAnsi="NotoSans-Regular" w:cs="NotoSans-Regular"/>
          <w:color w:val="0070C0"/>
          <w:sz w:val="24"/>
          <w:szCs w:val="24"/>
          <w:lang w:val="fr-FR"/>
        </w:rPr>
        <w:t xml:space="preserve">Dr Fatima Zahra EZ-ZAHIR </w:t>
      </w:r>
    </w:p>
    <w:p w14:paraId="2A50C250" w14:textId="06310E7A" w:rsidR="00D16413" w:rsidRDefault="00340F38" w:rsidP="002141AD">
      <w:pPr>
        <w:ind w:left="720"/>
        <w:jc w:val="right"/>
        <w:rPr>
          <w:rFonts w:ascii="NotoSans-Regular" w:hAnsi="NotoSans-Regular" w:cs="NotoSans-Regular"/>
          <w:color w:val="0070C0"/>
          <w:sz w:val="24"/>
          <w:szCs w:val="24"/>
          <w:lang w:val="fr-FR"/>
        </w:rPr>
      </w:pPr>
      <w:r w:rsidRPr="00340F38">
        <w:rPr>
          <w:rFonts w:ascii="NotoSans-Regular" w:hAnsi="NotoSans-Regular" w:cs="NotoSans-Regular"/>
          <w:color w:val="0070C0"/>
          <w:sz w:val="24"/>
          <w:szCs w:val="24"/>
          <w:lang w:val="fr-FR"/>
        </w:rPr>
        <w:t>CHU SOUSS MASSA</w:t>
      </w:r>
    </w:p>
    <w:p w14:paraId="773B4236" w14:textId="77777777" w:rsidR="00340F38" w:rsidRPr="00340F38" w:rsidRDefault="00340F38" w:rsidP="002141AD">
      <w:pPr>
        <w:ind w:left="720"/>
        <w:jc w:val="right"/>
        <w:rPr>
          <w:rFonts w:ascii="NotoSans-Regular" w:hAnsi="NotoSans-Regular" w:cs="NotoSans-Regular"/>
          <w:color w:val="0070C0"/>
          <w:sz w:val="24"/>
          <w:szCs w:val="24"/>
          <w:lang w:val="fr-FR"/>
        </w:rPr>
      </w:pPr>
      <w:r>
        <w:rPr>
          <w:rFonts w:ascii="NotoSans-Regular" w:hAnsi="NotoSans-Regular" w:cs="NotoSans-Regular"/>
          <w:color w:val="0070C0"/>
          <w:sz w:val="24"/>
          <w:szCs w:val="24"/>
          <w:lang w:val="fr-FR"/>
        </w:rPr>
        <w:t>Septembre 2024</w:t>
      </w:r>
    </w:p>
    <w:p w14:paraId="2F918AD3" w14:textId="77777777" w:rsidR="00340F38" w:rsidRPr="00D16413" w:rsidRDefault="00340F38" w:rsidP="00D16413">
      <w:pPr>
        <w:rPr>
          <w:rFonts w:ascii="NotoSans-Regular" w:hAnsi="NotoSans-Regular" w:cs="NotoSans-Regular"/>
          <w:sz w:val="24"/>
          <w:szCs w:val="24"/>
          <w:lang w:val="fr-FR"/>
        </w:rPr>
      </w:pPr>
    </w:p>
    <w:sectPr w:rsidR="00340F38" w:rsidRPr="00D16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Sans-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vOT0e40dc65">
    <w:altName w:val="Calibri"/>
    <w:panose1 w:val="00000000000000000000"/>
    <w:charset w:val="00"/>
    <w:family w:val="swiss"/>
    <w:notTrueType/>
    <w:pitch w:val="default"/>
    <w:sig w:usb0="00000003" w:usb1="00000000" w:usb2="00000000" w:usb3="00000000" w:csb0="00000001" w:csb1="00000000"/>
  </w:font>
  <w:font w:name="AdvOTa42dc7d3.B">
    <w:altName w:val="Calibri"/>
    <w:panose1 w:val="00000000000000000000"/>
    <w:charset w:val="00"/>
    <w:family w:val="swiss"/>
    <w:notTrueType/>
    <w:pitch w:val="default"/>
    <w:sig w:usb0="00000003" w:usb1="00000000" w:usb2="00000000" w:usb3="00000000" w:csb0="00000001" w:csb1="00000000"/>
  </w:font>
  <w:font w:name="AdvOTcabc3928.I">
    <w:altName w:val="Calibri"/>
    <w:panose1 w:val="00000000000000000000"/>
    <w:charset w:val="00"/>
    <w:family w:val="swiss"/>
    <w:notTrueType/>
    <w:pitch w:val="default"/>
    <w:sig w:usb0="00000003" w:usb1="00000000" w:usb2="00000000" w:usb3="00000000" w:csb0="00000001" w:csb1="00000000"/>
  </w:font>
  <w:font w:name="AdvOT0e40dc65+2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27FEA"/>
    <w:multiLevelType w:val="hybridMultilevel"/>
    <w:tmpl w:val="0BD0AC1E"/>
    <w:lvl w:ilvl="0" w:tplc="367EF3C6">
      <w:numFmt w:val="bullet"/>
      <w:lvlText w:val="-"/>
      <w:lvlJc w:val="left"/>
      <w:pPr>
        <w:ind w:left="720" w:hanging="360"/>
      </w:pPr>
      <w:rPr>
        <w:rFonts w:ascii="NotoSans-Regular" w:eastAsiaTheme="minorHAnsi" w:hAnsi="NotoSans-Regular" w:cs="Noto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E2454"/>
    <w:multiLevelType w:val="hybridMultilevel"/>
    <w:tmpl w:val="72D25CD2"/>
    <w:lvl w:ilvl="0" w:tplc="367EF3C6">
      <w:numFmt w:val="bullet"/>
      <w:lvlText w:val="-"/>
      <w:lvlJc w:val="left"/>
      <w:pPr>
        <w:ind w:left="720" w:hanging="360"/>
      </w:pPr>
      <w:rPr>
        <w:rFonts w:ascii="NotoSans-Regular" w:eastAsiaTheme="minorHAnsi" w:hAnsi="NotoSans-Regular" w:cs="Noto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150E1"/>
    <w:multiLevelType w:val="hybridMultilevel"/>
    <w:tmpl w:val="26586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828A2"/>
    <w:multiLevelType w:val="hybridMultilevel"/>
    <w:tmpl w:val="FAD437EA"/>
    <w:lvl w:ilvl="0" w:tplc="367EF3C6">
      <w:numFmt w:val="bullet"/>
      <w:lvlText w:val="-"/>
      <w:lvlJc w:val="left"/>
      <w:pPr>
        <w:ind w:left="720" w:hanging="360"/>
      </w:pPr>
      <w:rPr>
        <w:rFonts w:ascii="NotoSans-Regular" w:eastAsiaTheme="minorHAnsi" w:hAnsi="NotoSans-Regular" w:cs="Noto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B5FCA"/>
    <w:multiLevelType w:val="hybridMultilevel"/>
    <w:tmpl w:val="4730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A66BB"/>
    <w:multiLevelType w:val="hybridMultilevel"/>
    <w:tmpl w:val="B234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313B3F"/>
    <w:multiLevelType w:val="hybridMultilevel"/>
    <w:tmpl w:val="49A834EC"/>
    <w:lvl w:ilvl="0" w:tplc="367EF3C6">
      <w:numFmt w:val="bullet"/>
      <w:lvlText w:val="-"/>
      <w:lvlJc w:val="left"/>
      <w:pPr>
        <w:ind w:left="720" w:hanging="360"/>
      </w:pPr>
      <w:rPr>
        <w:rFonts w:ascii="NotoSans-Regular" w:eastAsiaTheme="minorHAnsi" w:hAnsi="NotoSans-Regular" w:cs="Noto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402F1"/>
    <w:multiLevelType w:val="hybridMultilevel"/>
    <w:tmpl w:val="A1B63EBA"/>
    <w:lvl w:ilvl="0" w:tplc="DD50D8AA">
      <w:start w:val="1"/>
      <w:numFmt w:val="upperRoman"/>
      <w:lvlText w:val="%1."/>
      <w:lvlJc w:val="left"/>
      <w:pPr>
        <w:ind w:left="800" w:hanging="720"/>
      </w:pPr>
      <w:rPr>
        <w:rFonts w:hint="default"/>
        <w:b/>
        <w:sz w:val="36"/>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8" w15:restartNumberingAfterBreak="0">
    <w:nsid w:val="49D36B8B"/>
    <w:multiLevelType w:val="hybridMultilevel"/>
    <w:tmpl w:val="0A60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2362F3"/>
    <w:multiLevelType w:val="hybridMultilevel"/>
    <w:tmpl w:val="BDAA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916F8C"/>
    <w:multiLevelType w:val="hybridMultilevel"/>
    <w:tmpl w:val="238E7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9603040">
    <w:abstractNumId w:val="7"/>
  </w:num>
  <w:num w:numId="2" w16cid:durableId="944189896">
    <w:abstractNumId w:val="9"/>
  </w:num>
  <w:num w:numId="3" w16cid:durableId="931007146">
    <w:abstractNumId w:val="1"/>
  </w:num>
  <w:num w:numId="4" w16cid:durableId="993870309">
    <w:abstractNumId w:val="6"/>
  </w:num>
  <w:num w:numId="5" w16cid:durableId="798769602">
    <w:abstractNumId w:val="3"/>
  </w:num>
  <w:num w:numId="6" w16cid:durableId="1406030919">
    <w:abstractNumId w:val="0"/>
  </w:num>
  <w:num w:numId="7" w16cid:durableId="1189022068">
    <w:abstractNumId w:val="8"/>
  </w:num>
  <w:num w:numId="8" w16cid:durableId="19942259">
    <w:abstractNumId w:val="5"/>
  </w:num>
  <w:num w:numId="9" w16cid:durableId="183591332">
    <w:abstractNumId w:val="10"/>
  </w:num>
  <w:num w:numId="10" w16cid:durableId="684595530">
    <w:abstractNumId w:val="2"/>
  </w:num>
  <w:num w:numId="11" w16cid:durableId="1242526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413"/>
    <w:rsid w:val="000F6BB8"/>
    <w:rsid w:val="00174C64"/>
    <w:rsid w:val="00176242"/>
    <w:rsid w:val="002141AD"/>
    <w:rsid w:val="00340F38"/>
    <w:rsid w:val="004B080C"/>
    <w:rsid w:val="00936802"/>
    <w:rsid w:val="009E4BCC"/>
    <w:rsid w:val="009F0503"/>
    <w:rsid w:val="00AA2165"/>
    <w:rsid w:val="00CE1927"/>
    <w:rsid w:val="00D16413"/>
    <w:rsid w:val="00F70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EE5AF"/>
  <w15:chartTrackingRefBased/>
  <w15:docId w15:val="{C46E4A4B-8B93-4454-9859-3410DCA6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6413"/>
    <w:pPr>
      <w:ind w:left="720"/>
      <w:contextualSpacing/>
    </w:pPr>
  </w:style>
  <w:style w:type="paragraph" w:styleId="NormalWeb">
    <w:name w:val="Normal (Web)"/>
    <w:basedOn w:val="Normal"/>
    <w:uiPriority w:val="99"/>
    <w:unhideWhenUsed/>
    <w:rsid w:val="009368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055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1230</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MERYEME ED</dc:creator>
  <cp:keywords/>
  <dc:description/>
  <cp:lastModifiedBy>hp</cp:lastModifiedBy>
  <cp:revision>3</cp:revision>
  <dcterms:created xsi:type="dcterms:W3CDTF">2024-09-29T19:19:00Z</dcterms:created>
  <dcterms:modified xsi:type="dcterms:W3CDTF">2024-09-29T20:41:00Z</dcterms:modified>
</cp:coreProperties>
</file>